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CAC5" w14:textId="1D9EBFE2" w:rsidR="004163EF" w:rsidRPr="007C172F" w:rsidRDefault="00016C88" w:rsidP="004163EF">
      <w:pPr>
        <w:shd w:val="clear" w:color="auto" w:fill="A8D08D" w:themeFill="accent6" w:themeFillTint="99"/>
        <w:spacing w:line="240" w:lineRule="auto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Raport z postępów realizacji LSR za rok</w:t>
      </w:r>
      <w:r w:rsidR="004163EF">
        <w:rPr>
          <w:rFonts w:ascii="Calibri" w:hAnsi="Calibri" w:cs="Arial"/>
          <w:b/>
          <w:sz w:val="48"/>
          <w:szCs w:val="48"/>
        </w:rPr>
        <w:t xml:space="preserve"> 202</w:t>
      </w:r>
      <w:r w:rsidR="00EC572F">
        <w:rPr>
          <w:rFonts w:ascii="Calibri" w:hAnsi="Calibri" w:cs="Arial"/>
          <w:b/>
          <w:sz w:val="48"/>
          <w:szCs w:val="48"/>
        </w:rPr>
        <w:t>2</w:t>
      </w:r>
    </w:p>
    <w:p w14:paraId="4445AD8B" w14:textId="77777777" w:rsidR="004163EF" w:rsidRPr="007C172F" w:rsidRDefault="004163EF" w:rsidP="00016C88">
      <w:pPr>
        <w:spacing w:line="240" w:lineRule="auto"/>
        <w:rPr>
          <w:rFonts w:ascii="Calibri" w:hAnsi="Calibri" w:cs="Arial"/>
          <w:b/>
          <w:sz w:val="32"/>
          <w:szCs w:val="32"/>
        </w:rPr>
      </w:pPr>
    </w:p>
    <w:p w14:paraId="401F8E3B" w14:textId="77777777" w:rsidR="004163EF" w:rsidRPr="007C172F" w:rsidRDefault="004163EF" w:rsidP="004163EF">
      <w:pPr>
        <w:spacing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607412AC" wp14:editId="5FFD4525">
            <wp:extent cx="2673985" cy="105233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314" cy="10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3405" w14:textId="5B3CDCCF" w:rsidR="004163EF" w:rsidRDefault="00EC572F" w:rsidP="00016C88">
      <w:pPr>
        <w:spacing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STYCZEŃ</w:t>
      </w:r>
      <w:r w:rsidR="00016C88">
        <w:rPr>
          <w:rFonts w:ascii="Calibri" w:hAnsi="Calibri" w:cs="Arial"/>
          <w:b/>
        </w:rPr>
        <w:t xml:space="preserve"> 202</w:t>
      </w:r>
      <w:r>
        <w:rPr>
          <w:rFonts w:ascii="Calibri" w:hAnsi="Calibri" w:cs="Arial"/>
          <w:b/>
        </w:rPr>
        <w:t>3</w:t>
      </w:r>
    </w:p>
    <w:p w14:paraId="3DF85B57" w14:textId="77777777" w:rsidR="004163EF" w:rsidRDefault="004163EF" w:rsidP="004163EF">
      <w:pPr>
        <w:spacing w:line="240" w:lineRule="auto"/>
        <w:rPr>
          <w:rFonts w:ascii="Calibri" w:hAnsi="Calibri" w:cs="Arial"/>
        </w:rPr>
      </w:pPr>
    </w:p>
    <w:p w14:paraId="217D80E8" w14:textId="39193F26" w:rsidR="004163EF" w:rsidRPr="001C3FCA" w:rsidRDefault="004163EF" w:rsidP="004163EF">
      <w:pPr>
        <w:shd w:val="clear" w:color="auto" w:fill="A8D08D" w:themeFill="accent6" w:themeFillTint="99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1C3FCA">
        <w:rPr>
          <w:color w:val="000000"/>
          <w:sz w:val="24"/>
          <w:szCs w:val="24"/>
        </w:rPr>
        <w:t>CENA REALIZACJI RZECZOWEJ I FINANSOWEJ PRZEDSIEWZIĘĆ I CELÓW SZCZEGÓŁOWYCH NA PODSTAWIE REALIZOWANYCH WSKAŹNIKÓW PRODUKTU I REZULTATU</w:t>
      </w:r>
    </w:p>
    <w:p w14:paraId="66C71520" w14:textId="33FF8AC9" w:rsidR="004163EF" w:rsidRPr="0016156D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16156D">
        <w:rPr>
          <w:color w:val="000000"/>
        </w:rPr>
        <w:t xml:space="preserve">Oceny zagadnienia dokonano na podstawie prowadzonych przez </w:t>
      </w:r>
      <w:r>
        <w:rPr>
          <w:color w:val="000000"/>
        </w:rPr>
        <w:t>Zarząd i B</w:t>
      </w:r>
      <w:r w:rsidRPr="0016156D">
        <w:rPr>
          <w:color w:val="000000"/>
        </w:rPr>
        <w:t>iuro LGD zestawień monitorujących realizację rzeczową i finansową przedsięwzięć i celów szczegółowych oraz Sprawozdania z realizacji LSR za rok 2016</w:t>
      </w:r>
      <w:r>
        <w:rPr>
          <w:color w:val="000000"/>
        </w:rPr>
        <w:t xml:space="preserve">, </w:t>
      </w:r>
      <w:r w:rsidRPr="0016156D">
        <w:rPr>
          <w:color w:val="000000"/>
        </w:rPr>
        <w:t>2017</w:t>
      </w:r>
      <w:r>
        <w:rPr>
          <w:color w:val="000000"/>
        </w:rPr>
        <w:t>, 2018, 2019, 2020, 2021</w:t>
      </w:r>
      <w:r w:rsidR="00EC572F">
        <w:rPr>
          <w:color w:val="000000"/>
        </w:rPr>
        <w:t>, 2022</w:t>
      </w:r>
      <w:r w:rsidRPr="0016156D">
        <w:rPr>
          <w:color w:val="000000"/>
        </w:rPr>
        <w:t xml:space="preserve"> (tabele wskaźników i przedsięwzięć).</w:t>
      </w:r>
    </w:p>
    <w:p w14:paraId="7E826C73" w14:textId="77777777" w:rsidR="004163EF" w:rsidRPr="0016156D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16156D">
        <w:rPr>
          <w:color w:val="000000"/>
        </w:rPr>
        <w:t>Analizy rzeczowego stopnia realizacji celów i przedsięwzięć dokonano na podstawie weryfikacji osiągnięcia wskaźników</w:t>
      </w:r>
      <w:r>
        <w:rPr>
          <w:color w:val="000000"/>
        </w:rPr>
        <w:t>, w szczególności wskaźników produktu mierzalnych po zakończeniu realizacji operacji</w:t>
      </w:r>
    </w:p>
    <w:p w14:paraId="6C877355" w14:textId="77777777" w:rsidR="004163EF" w:rsidRPr="001C3FCA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16156D">
        <w:rPr>
          <w:color w:val="000000"/>
        </w:rPr>
        <w:t>Analizy finansowej na pod</w:t>
      </w:r>
      <w:r>
        <w:rPr>
          <w:color w:val="000000"/>
        </w:rPr>
        <w:t>stawie wypłaconych środków ale również środków zakontraktowanych – podpisanych umów i środków „zablokowanych/zarezerwowanych” we wnioskach złożonych i wybranych w trakcie weryfikacji.</w:t>
      </w:r>
    </w:p>
    <w:p w14:paraId="236071F3" w14:textId="4B1F929D" w:rsidR="004163EF" w:rsidRDefault="004163EF" w:rsidP="004163EF">
      <w:pPr>
        <w:spacing w:line="240" w:lineRule="auto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Zestawienie dotychczasowej realizacji poszczególnych wskaźników produktu wszystkich przedsięwzięć LSR (poddziałania 19.2., 19.3. i 19.4 </w:t>
      </w:r>
      <w:r>
        <w:rPr>
          <w:rStyle w:val="Odwoanieprzypisudolnego"/>
          <w:rFonts w:cs="Arial"/>
          <w:b/>
          <w:lang w:eastAsia="pl-PL"/>
        </w:rPr>
        <w:footnoteReference w:id="1"/>
      </w:r>
      <w:r>
        <w:rPr>
          <w:rFonts w:cs="Arial"/>
          <w:b/>
          <w:lang w:eastAsia="pl-PL"/>
        </w:rPr>
        <w:t>) przedstawiono w tabeli 1 – tabela stanowi fragment sprawozdania z realizacji LSR za 202</w:t>
      </w:r>
      <w:r w:rsidR="00EC572F">
        <w:rPr>
          <w:rFonts w:cs="Arial"/>
          <w:b/>
          <w:lang w:eastAsia="pl-PL"/>
        </w:rPr>
        <w:t>2</w:t>
      </w:r>
      <w:r>
        <w:rPr>
          <w:rFonts w:cs="Arial"/>
          <w:b/>
          <w:lang w:eastAsia="pl-PL"/>
        </w:rPr>
        <w:t xml:space="preserve"> r. i obejmuje wyłącznie statystyki z wniosków rozliczonych (Płatności) i zakontraktowanych (Umowy). </w:t>
      </w:r>
    </w:p>
    <w:p w14:paraId="46004AAC" w14:textId="65A82B15" w:rsidR="004163EF" w:rsidRDefault="004163EF" w:rsidP="004163EF">
      <w:pPr>
        <w:spacing w:line="240" w:lineRule="auto"/>
        <w:jc w:val="both"/>
        <w:rPr>
          <w:rFonts w:cs="Arial"/>
          <w:b/>
          <w:lang w:eastAsia="pl-PL"/>
        </w:rPr>
      </w:pPr>
      <w:r w:rsidRPr="00A835EC">
        <w:rPr>
          <w:rFonts w:cs="Arial"/>
          <w:bCs/>
          <w:lang w:eastAsia="pl-PL"/>
        </w:rPr>
        <w:t xml:space="preserve">W ujęciu kompleksowym – uwzględniając również operacje wybrane i w trakcie weryfikacji </w:t>
      </w:r>
      <w:r>
        <w:rPr>
          <w:rFonts w:cs="Arial"/>
          <w:bCs/>
          <w:lang w:eastAsia="pl-PL"/>
        </w:rPr>
        <w:t xml:space="preserve">realizacja budżetu LSR dla poddziałania 19.2. Wsparcie na wdrażanie operacji w ramach strategii rozwoju lokalnego kierowanego przez społeczność, wynosi </w:t>
      </w:r>
      <w:r w:rsidR="00A756DD">
        <w:rPr>
          <w:rFonts w:cs="Arial"/>
          <w:b/>
          <w:lang w:eastAsia="pl-PL"/>
        </w:rPr>
        <w:t>98</w:t>
      </w:r>
      <w:r w:rsidRPr="00BC41F0">
        <w:rPr>
          <w:rFonts w:cs="Arial"/>
          <w:b/>
          <w:lang w:eastAsia="pl-PL"/>
        </w:rPr>
        <w:t>,</w:t>
      </w:r>
      <w:r w:rsidR="00A756DD">
        <w:rPr>
          <w:rFonts w:cs="Arial"/>
          <w:b/>
          <w:lang w:eastAsia="pl-PL"/>
        </w:rPr>
        <w:t>42</w:t>
      </w:r>
      <w:r w:rsidRPr="00BC41F0">
        <w:rPr>
          <w:rFonts w:cs="Arial"/>
          <w:b/>
          <w:lang w:eastAsia="pl-PL"/>
        </w:rPr>
        <w:t>% (</w:t>
      </w:r>
      <w:r w:rsidR="00A756DD" w:rsidRPr="00A756DD">
        <w:rPr>
          <w:rFonts w:cs="Arial"/>
          <w:b/>
          <w:lang w:eastAsia="pl-PL"/>
        </w:rPr>
        <w:t>9</w:t>
      </w:r>
      <w:r w:rsidR="00A756DD">
        <w:rPr>
          <w:rFonts w:cs="Arial"/>
          <w:b/>
          <w:lang w:eastAsia="pl-PL"/>
        </w:rPr>
        <w:t> </w:t>
      </w:r>
      <w:r w:rsidR="00A756DD" w:rsidRPr="00A756DD">
        <w:rPr>
          <w:rFonts w:cs="Arial"/>
          <w:b/>
          <w:lang w:eastAsia="pl-PL"/>
        </w:rPr>
        <w:t>312</w:t>
      </w:r>
      <w:r w:rsidR="00A756DD">
        <w:rPr>
          <w:rFonts w:cs="Arial"/>
          <w:b/>
          <w:lang w:eastAsia="pl-PL"/>
        </w:rPr>
        <w:t> </w:t>
      </w:r>
      <w:r w:rsidR="00A756DD" w:rsidRPr="00A756DD">
        <w:rPr>
          <w:rFonts w:cs="Arial"/>
          <w:b/>
          <w:lang w:eastAsia="pl-PL"/>
        </w:rPr>
        <w:t xml:space="preserve">549,87 </w:t>
      </w:r>
      <w:r>
        <w:rPr>
          <w:rFonts w:cs="Arial"/>
          <w:b/>
          <w:lang w:eastAsia="pl-PL"/>
        </w:rPr>
        <w:t>zł/</w:t>
      </w:r>
      <w:r w:rsidRPr="00BC41F0">
        <w:rPr>
          <w:rFonts w:cs="Arial"/>
          <w:b/>
          <w:lang w:eastAsia="pl-PL"/>
        </w:rPr>
        <w:t>9</w:t>
      </w:r>
      <w:r>
        <w:rPr>
          <w:rFonts w:cs="Arial"/>
          <w:b/>
          <w:lang w:eastAsia="pl-PL"/>
        </w:rPr>
        <w:t xml:space="preserve"> </w:t>
      </w:r>
      <w:r w:rsidRPr="00BC41F0">
        <w:rPr>
          <w:rFonts w:cs="Arial"/>
          <w:b/>
          <w:lang w:eastAsia="pl-PL"/>
        </w:rPr>
        <w:t>462</w:t>
      </w:r>
      <w:r>
        <w:rPr>
          <w:rFonts w:cs="Arial"/>
          <w:b/>
          <w:lang w:eastAsia="pl-PL"/>
        </w:rPr>
        <w:t xml:space="preserve"> </w:t>
      </w:r>
      <w:r w:rsidRPr="00BC41F0">
        <w:rPr>
          <w:rFonts w:cs="Arial"/>
          <w:b/>
          <w:lang w:eastAsia="pl-PL"/>
        </w:rPr>
        <w:t>000,00</w:t>
      </w:r>
      <w:r>
        <w:rPr>
          <w:rFonts w:cs="Arial"/>
          <w:b/>
          <w:lang w:eastAsia="pl-PL"/>
        </w:rPr>
        <w:t xml:space="preserve"> zł)</w:t>
      </w:r>
    </w:p>
    <w:p w14:paraId="143D88B2" w14:textId="77777777" w:rsidR="004163EF" w:rsidRDefault="004163EF" w:rsidP="004163EF">
      <w:pPr>
        <w:shd w:val="clear" w:color="auto" w:fill="FFFFFF" w:themeFill="background1"/>
        <w:tabs>
          <w:tab w:val="left" w:pos="4770"/>
        </w:tabs>
        <w:spacing w:line="240" w:lineRule="auto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Tabela 1. Realizacja budżetu przedsięwzięć LSR</w:t>
      </w:r>
    </w:p>
    <w:tbl>
      <w:tblPr>
        <w:tblW w:w="951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1204"/>
        <w:gridCol w:w="1120"/>
        <w:gridCol w:w="1074"/>
        <w:gridCol w:w="1035"/>
        <w:gridCol w:w="1072"/>
        <w:gridCol w:w="1035"/>
        <w:gridCol w:w="160"/>
      </w:tblGrid>
      <w:tr w:rsidR="004163EF" w:rsidRPr="00535D1B" w14:paraId="1BA54FC0" w14:textId="77777777" w:rsidTr="00EC48B7">
        <w:trPr>
          <w:gridAfter w:val="1"/>
          <w:wAfter w:w="160" w:type="dxa"/>
          <w:trHeight w:val="360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7B1D0D6" w14:textId="77777777" w:rsidR="004163EF" w:rsidRPr="00535D1B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7F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Przedsięwzięcia</w:t>
            </w:r>
          </w:p>
        </w:tc>
      </w:tr>
      <w:tr w:rsidR="004163EF" w:rsidRPr="00535D1B" w14:paraId="0168CF2F" w14:textId="77777777" w:rsidTr="00EC572F">
        <w:trPr>
          <w:gridAfter w:val="1"/>
          <w:wAfter w:w="160" w:type="dxa"/>
          <w:trHeight w:val="300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FF14075" w14:textId="77777777" w:rsidR="004163EF" w:rsidRPr="002A7F7D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F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429BD3" w14:textId="77777777" w:rsidR="004163EF" w:rsidRPr="002A7F7D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F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poddziałania PROW 2014-2020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60C6E4" w14:textId="77777777" w:rsidR="004163EF" w:rsidRPr="002A7F7D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F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Budżet w LSR [PLN]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BAFF7B" w14:textId="77777777" w:rsidR="004163EF" w:rsidRPr="002A7F7D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F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Pomoc przyznana (U)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E7E5D4" w14:textId="77777777" w:rsidR="004163EF" w:rsidRPr="002A7F7D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F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Pomoc wypłacona (P)</w:t>
            </w:r>
          </w:p>
        </w:tc>
      </w:tr>
      <w:tr w:rsidR="004163EF" w:rsidRPr="00535D1B" w14:paraId="19D6BACD" w14:textId="77777777" w:rsidTr="00EC572F">
        <w:trPr>
          <w:gridAfter w:val="1"/>
          <w:wAfter w:w="160" w:type="dxa"/>
          <w:trHeight w:val="947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CE0F765" w14:textId="77777777" w:rsidR="004163EF" w:rsidRPr="002A7F7D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7FB5CF" w14:textId="77777777" w:rsidR="004163EF" w:rsidRPr="002A7F7D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6E9C8E" w14:textId="77777777" w:rsidR="004163EF" w:rsidRPr="002A7F7D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78C75C" w14:textId="77777777" w:rsidR="004163EF" w:rsidRPr="002A7F7D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F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Realizacja budżetu [PLN]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84CABF" w14:textId="77777777" w:rsidR="004163EF" w:rsidRPr="002A7F7D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F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Realizacja budżetu [%]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62CF51" w14:textId="77777777" w:rsidR="004163EF" w:rsidRPr="002A7F7D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F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Realizacja budżetu [PLN]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B8064E" w14:textId="77777777" w:rsidR="004163EF" w:rsidRPr="002A7F7D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F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Realizacja budżetu [%]</w:t>
            </w:r>
          </w:p>
        </w:tc>
      </w:tr>
      <w:tr w:rsidR="00EC572F" w:rsidRPr="00535D1B" w14:paraId="2F715BCC" w14:textId="77777777" w:rsidTr="00EC572F">
        <w:trPr>
          <w:gridAfter w:val="1"/>
          <w:wAfter w:w="160" w:type="dxa"/>
          <w:trHeight w:val="9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DC9037E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1.1.1. Tworzenie i rozwój ogólnodostępnej niekomercyjnej infrastruktury turystycznej, rekreacyjnej, sportowej kulturalnej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B62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393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color w:val="000000"/>
                <w:sz w:val="18"/>
                <w:szCs w:val="18"/>
              </w:rPr>
              <w:t>1080437,64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85A" w14:textId="7626B528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983077,65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889" w14:textId="25162910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90,99%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99CB" w14:textId="43BAD79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843077,65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457" w14:textId="44802939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78,03%</w:t>
            </w:r>
          </w:p>
        </w:tc>
      </w:tr>
      <w:tr w:rsidR="004163EF" w:rsidRPr="00535D1B" w14:paraId="3E827834" w14:textId="77777777" w:rsidTr="00EC572F">
        <w:trPr>
          <w:gridAfter w:val="1"/>
          <w:wAfter w:w="160" w:type="dxa"/>
          <w:trHeight w:val="69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ADB71CF" w14:textId="77777777" w:rsidR="004163EF" w:rsidRPr="002A7F7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1.1.2. Polepszenie oferty spędzania wolnego czasu poprzez zajęcia sportowe, rekreacyjne, ekologiczne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DBA" w14:textId="77777777" w:rsidR="004163EF" w:rsidRPr="002A7F7D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0601" w14:textId="77777777" w:rsidR="004163EF" w:rsidRPr="002A7F7D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color w:val="000000"/>
                <w:sz w:val="18"/>
                <w:szCs w:val="18"/>
              </w:rPr>
              <w:t>274588,00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19C" w14:textId="77777777" w:rsidR="004163EF" w:rsidRPr="002A7F7D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137" w14:textId="77777777" w:rsidR="004163EF" w:rsidRPr="002A7F7D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sz w:val="18"/>
                <w:szCs w:val="18"/>
              </w:rPr>
              <w:t>109,25%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191F" w14:textId="77777777" w:rsidR="004163EF" w:rsidRPr="002A7F7D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sz w:val="18"/>
                <w:szCs w:val="18"/>
              </w:rPr>
              <w:t>300000,00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BAE9" w14:textId="77777777" w:rsidR="004163EF" w:rsidRPr="002A7F7D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sz w:val="18"/>
                <w:szCs w:val="18"/>
              </w:rPr>
              <w:t>109,25%</w:t>
            </w:r>
          </w:p>
        </w:tc>
      </w:tr>
      <w:tr w:rsidR="004163EF" w:rsidRPr="00535D1B" w14:paraId="09351BD3" w14:textId="77777777" w:rsidTr="00EC572F">
        <w:trPr>
          <w:gridAfter w:val="1"/>
          <w:wAfter w:w="160" w:type="dxa"/>
          <w:trHeight w:val="97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E4A2A86" w14:textId="77777777" w:rsidR="004163EF" w:rsidRPr="002A7F7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1.1.3. Podnoszenie świadomości społeczności lokalnej w zakresie ochrony środowiska, przeciwdziałania zmianom klimatu oraz promowanie działań proekologicznych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2307" w14:textId="77777777" w:rsidR="004163EF" w:rsidRPr="002A7F7D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C744" w14:textId="77777777" w:rsidR="004163EF" w:rsidRPr="002A7F7D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color w:val="000000"/>
                <w:sz w:val="18"/>
                <w:szCs w:val="18"/>
              </w:rPr>
              <w:t>46426,00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6221" w14:textId="77777777" w:rsidR="004163EF" w:rsidRPr="002A7F7D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sz w:val="18"/>
                <w:szCs w:val="18"/>
              </w:rPr>
              <w:t>49650,00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7170" w14:textId="77777777" w:rsidR="004163EF" w:rsidRPr="002A7F7D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sz w:val="18"/>
                <w:szCs w:val="18"/>
              </w:rPr>
              <w:t>106,94%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D3CB" w14:textId="77777777" w:rsidR="004163EF" w:rsidRPr="002A7F7D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sz w:val="18"/>
                <w:szCs w:val="18"/>
              </w:rPr>
              <w:t>49650,00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132" w14:textId="77777777" w:rsidR="004163EF" w:rsidRPr="002A7F7D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cstheme="minorHAnsi"/>
                <w:sz w:val="18"/>
                <w:szCs w:val="18"/>
              </w:rPr>
              <w:t>106,94%</w:t>
            </w:r>
          </w:p>
        </w:tc>
      </w:tr>
      <w:tr w:rsidR="00EC572F" w:rsidRPr="00EC572F" w14:paraId="178481A9" w14:textId="77777777" w:rsidTr="00A4069E">
        <w:trPr>
          <w:gridAfter w:val="1"/>
          <w:wAfter w:w="160" w:type="dxa"/>
          <w:trHeight w:val="98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5792D44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1.2.1. Wzmacnianie tożsamości regionalnej oraz działania na rzecz integracji, aktywizacji i umacniania więzi lokalnych wśród mieszkańców obszaru PLGD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6BB6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F13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682050,00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6A19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241960,70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B6B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35,48%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3367" w14:textId="65B93E91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241960,70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D7D" w14:textId="7F4AF844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35,48%</w:t>
            </w:r>
          </w:p>
        </w:tc>
      </w:tr>
      <w:tr w:rsidR="00EC572F" w:rsidRPr="00EC572F" w14:paraId="362F38B8" w14:textId="77777777" w:rsidTr="00EC572F">
        <w:trPr>
          <w:gridAfter w:val="1"/>
          <w:wAfter w:w="160" w:type="dxa"/>
          <w:trHeight w:val="69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16EDD6D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1.2.2. Wspieranie działań na rzecz ochrony i zachowania dziedzictwa </w:t>
            </w:r>
            <w:proofErr w:type="spellStart"/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kulturowe-go</w:t>
            </w:r>
            <w:proofErr w:type="spellEnd"/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przyrodniczego obszaru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7ECF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75D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416817,00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585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470140,00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72C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112,79%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F43D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470140,00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BF85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112,79%</w:t>
            </w:r>
          </w:p>
        </w:tc>
      </w:tr>
      <w:tr w:rsidR="00EC572F" w:rsidRPr="00EC572F" w14:paraId="60B521FC" w14:textId="77777777" w:rsidTr="00DF714D">
        <w:trPr>
          <w:gridAfter w:val="1"/>
          <w:wAfter w:w="160" w:type="dxa"/>
          <w:trHeight w:val="83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C9FB7CB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1.2.3. Wsparcie organizacji pozarządowych w zakresie działalności statutowej i działań innowacyjnych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D57E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816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714302,04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E825" w14:textId="0542E806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738126,89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971A" w14:textId="150F5F83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103,34%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9B1C" w14:textId="08E8301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381501,89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2C4" w14:textId="0D183725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53,41%</w:t>
            </w:r>
          </w:p>
        </w:tc>
      </w:tr>
      <w:tr w:rsidR="00EC572F" w:rsidRPr="00EC572F" w14:paraId="2C2A7097" w14:textId="77777777" w:rsidTr="00DF714D">
        <w:trPr>
          <w:gridAfter w:val="1"/>
          <w:wAfter w:w="160" w:type="dxa"/>
          <w:trHeight w:val="112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FE5B942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2.1.1. PREMIA NA STRAT - wsparcie na podjęcie działalności gospodarczej, w tym opartej na innowacjach i zakładanych przez osoby z grup </w:t>
            </w:r>
            <w:proofErr w:type="spellStart"/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defaworyzowanych</w:t>
            </w:r>
            <w:proofErr w:type="spellEnd"/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45B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468E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3119036,00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AB14" w14:textId="56A5C96C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3360000,00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A8B" w14:textId="2B11231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107,73%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441D" w14:textId="6CADC833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2400000,00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CBB4" w14:textId="59658756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76,95%</w:t>
            </w:r>
          </w:p>
        </w:tc>
      </w:tr>
      <w:tr w:rsidR="00EC572F" w:rsidRPr="00EC572F" w14:paraId="675F18B5" w14:textId="77777777" w:rsidTr="00DF714D">
        <w:trPr>
          <w:gridAfter w:val="1"/>
          <w:wAfter w:w="160" w:type="dxa"/>
          <w:trHeight w:val="1246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32E0D2C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2.1.2. Wspieranie rozwoju przedsiębiorstw na rzecz tworzenia nowych miejsc pracy w tym również opartych na innowacjach i zatrudniających osoby z  grup </w:t>
            </w:r>
            <w:proofErr w:type="spellStart"/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defaworyzowanych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334A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83B5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2401061,72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B130" w14:textId="26B69E53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2009873,38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0C8" w14:textId="4BED6FB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83,71%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A66" w14:textId="2DC8419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1710173,38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EA8D" w14:textId="02483165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71,23%</w:t>
            </w:r>
          </w:p>
        </w:tc>
      </w:tr>
      <w:tr w:rsidR="00EC572F" w:rsidRPr="00EC572F" w14:paraId="0D0B10C8" w14:textId="77777777" w:rsidTr="00EC572F">
        <w:trPr>
          <w:gridAfter w:val="1"/>
          <w:wAfter w:w="160" w:type="dxa"/>
          <w:trHeight w:val="1264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643D0C3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2.2.1. Wykorzystanie potencjału produktów lokalnych na rzecz rozwoju lokalnej przedsiębiorczości  – rozwój przetwórstwa, produkcji i dystrybucji  produktów lokalnych /Rozwój przedsiębiorstw w branży spożywczej/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018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47BC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441405,00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C7EB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478805,00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6D4B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108,47%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B7E1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478805,00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036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108,47%</w:t>
            </w:r>
          </w:p>
        </w:tc>
      </w:tr>
      <w:tr w:rsidR="00EC572F" w:rsidRPr="00EC572F" w14:paraId="13ABDBD5" w14:textId="77777777" w:rsidTr="00EC572F">
        <w:trPr>
          <w:gridAfter w:val="1"/>
          <w:wAfter w:w="160" w:type="dxa"/>
          <w:trHeight w:val="68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C8F7130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2.2.2. Wspieranie integracji branż mających znaczenie w zakresie produktu lokalnego na Podhalu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48E8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988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46732,00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7AA9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50000,00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0BC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106,99%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6FE2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50000,00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04CC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106,99%</w:t>
            </w:r>
          </w:p>
        </w:tc>
      </w:tr>
      <w:tr w:rsidR="00EC572F" w:rsidRPr="00EC572F" w14:paraId="5E9D455E" w14:textId="77777777" w:rsidTr="00EC572F">
        <w:trPr>
          <w:gridAfter w:val="1"/>
          <w:wAfter w:w="160" w:type="dxa"/>
          <w:trHeight w:val="83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31D2610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2.2.3. Tworzenie sieci powiązań i kooperacji na rzecz zwiększenia dostępności produktów lokalnych dla mieszkańców i turystów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09AE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19.3.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3832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50000,00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A3CB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5D1E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0,00%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0E7B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292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0,00%</w:t>
            </w:r>
          </w:p>
        </w:tc>
      </w:tr>
      <w:tr w:rsidR="00EC572F" w:rsidRPr="00EC572F" w14:paraId="2AFC97AC" w14:textId="77777777" w:rsidTr="00EC572F">
        <w:trPr>
          <w:gridAfter w:val="1"/>
          <w:wAfter w:w="160" w:type="dxa"/>
          <w:trHeight w:val="83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27B082E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sz w:val="18"/>
                <w:szCs w:val="18"/>
                <w:lang w:eastAsia="pl-PL"/>
              </w:rPr>
              <w:t>2.3.1. Wydarzenia oraz działania informacyjno-promocyjne na rzecz rozwijania oferty turystycznej obszaru PLGD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AF2A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sz w:val="18"/>
                <w:szCs w:val="18"/>
                <w:lang w:eastAsia="pl-PL"/>
              </w:rPr>
              <w:t>19.2.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D205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239145,00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FC01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196174,25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ABAC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82,03%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253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146174,25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FA6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61,12%</w:t>
            </w:r>
          </w:p>
        </w:tc>
      </w:tr>
      <w:tr w:rsidR="00EC572F" w:rsidRPr="00EC572F" w14:paraId="78CF221F" w14:textId="77777777" w:rsidTr="00EC572F">
        <w:trPr>
          <w:gridAfter w:val="1"/>
          <w:wAfter w:w="160" w:type="dxa"/>
          <w:trHeight w:val="83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535868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2.3.2. Działania na rzecz rozwijania ponadregionalnej oferty turystycznej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6D18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19.3.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E6FE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630000,00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7DBC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5882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0,00%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4A71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BB61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0,00%</w:t>
            </w:r>
          </w:p>
        </w:tc>
      </w:tr>
      <w:tr w:rsidR="00EC572F" w:rsidRPr="00EC572F" w14:paraId="16FE4123" w14:textId="77777777" w:rsidTr="00EC572F">
        <w:trPr>
          <w:gridAfter w:val="1"/>
          <w:wAfter w:w="160" w:type="dxa"/>
          <w:trHeight w:val="55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5CEDB5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2.3.3. Rozwój potencjału turystycznego w oparciu o dziedzictwo kulturowe i artystyczne obszaru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08B4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B3F7" w14:textId="77777777" w:rsidR="00EC572F" w:rsidRPr="00EC572F" w:rsidRDefault="00EC572F" w:rsidP="00EC572F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C4A7" w14:textId="18DBB5B5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200000,00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FDCE" w14:textId="25B9E348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AF16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C45E" w14:textId="77777777" w:rsidR="00EC572F" w:rsidRPr="00EC572F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572F">
              <w:rPr>
                <w:rFonts w:cstheme="minorHAnsi"/>
                <w:color w:val="000000" w:themeColor="text1"/>
                <w:sz w:val="18"/>
                <w:szCs w:val="18"/>
              </w:rPr>
              <w:t>0,00%</w:t>
            </w:r>
          </w:p>
        </w:tc>
      </w:tr>
      <w:tr w:rsidR="00EC572F" w:rsidRPr="00535D1B" w14:paraId="6BA457A7" w14:textId="77777777" w:rsidTr="00EC572F">
        <w:trPr>
          <w:gridAfter w:val="1"/>
          <w:wAfter w:w="160" w:type="dxa"/>
          <w:trHeight w:val="55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15A046" w14:textId="77777777" w:rsidR="00EC572F" w:rsidRPr="002A7F7D" w:rsidRDefault="00EC572F" w:rsidP="00EC57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Wzmacnianie potencjału LGD, </w:t>
            </w:r>
            <w:proofErr w:type="spellStart"/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benenficjentów</w:t>
            </w:r>
            <w:proofErr w:type="spellEnd"/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i mieszkańców, funkcjonowanie PLGD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7EFC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19.4.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766B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1818540,00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DC9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1818540,00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BCD4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181D" w14:textId="52E88E9D" w:rsidR="00EC572F" w:rsidRPr="002A7F7D" w:rsidRDefault="0016496C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1652852,36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D731" w14:textId="3D360ACE" w:rsidR="00EC572F" w:rsidRPr="002A7F7D" w:rsidRDefault="0016496C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90,89</w:t>
            </w:r>
            <w:r w:rsidR="00EC572F"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EC572F" w:rsidRPr="00535D1B" w14:paraId="5A77A189" w14:textId="77777777" w:rsidTr="00EC572F">
        <w:trPr>
          <w:gridAfter w:val="1"/>
          <w:wAfter w:w="160" w:type="dxa"/>
          <w:trHeight w:val="551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C38E3E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bookmarkStart w:id="0" w:name="_Hlk96067355"/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 19.2.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349BA4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sz w:val="18"/>
                <w:szCs w:val="18"/>
                <w:lang w:eastAsia="pl-PL"/>
              </w:rPr>
              <w:t>9462000,00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43C87C" w14:textId="4DDAD992" w:rsidR="00EC572F" w:rsidRPr="002A7F7D" w:rsidRDefault="0016496C" w:rsidP="00EC57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8877807,87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6EF1B9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3C1447" w14:textId="478EAFC0" w:rsidR="00EC572F" w:rsidRPr="002A7F7D" w:rsidRDefault="0016496C" w:rsidP="00EC57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7121482,87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E2F255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</w:tr>
      <w:bookmarkEnd w:id="0"/>
      <w:tr w:rsidR="00EC572F" w:rsidRPr="00535D1B" w14:paraId="674860E4" w14:textId="77777777" w:rsidTr="00EC572F">
        <w:trPr>
          <w:gridAfter w:val="1"/>
          <w:wAfter w:w="160" w:type="dxa"/>
          <w:trHeight w:val="551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7CEBDF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 19.3.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71A173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880000,00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4BB801" w14:textId="0FA05D6F" w:rsidR="00EC572F" w:rsidRPr="002A7F7D" w:rsidRDefault="0016496C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200000,00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DEE88A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8BB85E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2CDDDE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EC572F" w:rsidRPr="00535D1B" w14:paraId="3AB7A408" w14:textId="77777777" w:rsidTr="00EC572F">
        <w:trPr>
          <w:trHeight w:val="300"/>
        </w:trPr>
        <w:tc>
          <w:tcPr>
            <w:tcW w:w="40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BA0376" w14:textId="77777777" w:rsidR="00EC572F" w:rsidRPr="002A7F7D" w:rsidRDefault="00EC572F" w:rsidP="00EC5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 19.4.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23B0A4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1818540,00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3C5732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1818540,00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EA0E47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329009" w14:textId="7CB402F4" w:rsidR="00EC572F" w:rsidRPr="002A7F7D" w:rsidRDefault="0016496C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1652852,36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CC85BC" w14:textId="77777777" w:rsidR="00EC572F" w:rsidRPr="002A7F7D" w:rsidRDefault="00EC572F" w:rsidP="00EC57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A7F7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652" w14:textId="77777777" w:rsidR="00EC572F" w:rsidRPr="00535D1B" w:rsidRDefault="00EC572F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2F" w:rsidRPr="00535D1B" w14:paraId="1FA39048" w14:textId="77777777" w:rsidTr="00EC572F">
        <w:trPr>
          <w:trHeight w:val="225"/>
        </w:trPr>
        <w:tc>
          <w:tcPr>
            <w:tcW w:w="4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1CA23F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890E7A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FD0BA8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B4DB62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2513702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B843F5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EE24" w14:textId="77777777" w:rsidR="00EC572F" w:rsidRPr="00535D1B" w:rsidRDefault="00EC572F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572F" w:rsidRPr="00535D1B" w14:paraId="4C86B873" w14:textId="77777777" w:rsidTr="00EC572F">
        <w:trPr>
          <w:trHeight w:val="75"/>
        </w:trPr>
        <w:tc>
          <w:tcPr>
            <w:tcW w:w="4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0E2CC48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C3D3D9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A3290A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6A2C30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2E192F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89018E" w14:textId="77777777" w:rsidR="00EC572F" w:rsidRPr="00535D1B" w:rsidRDefault="00EC572F" w:rsidP="00EC572F">
            <w:pPr>
              <w:spacing w:after="0" w:line="240" w:lineRule="auto"/>
              <w:rPr>
                <w:rFonts w:ascii="Arial Narrow" w:eastAsia="Times New Roman" w:hAnsi="Arial Narrow" w:cs="Calibri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8A7D" w14:textId="77777777" w:rsidR="00EC572F" w:rsidRPr="00535D1B" w:rsidRDefault="00EC572F" w:rsidP="00EC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5EE1DA" w14:textId="77777777" w:rsidR="004163EF" w:rsidRDefault="004163EF" w:rsidP="00016C88">
      <w:pPr>
        <w:spacing w:after="0" w:line="240" w:lineRule="auto"/>
        <w:rPr>
          <w:rFonts w:cs="Arial"/>
          <w:b/>
          <w:lang w:eastAsia="pl-PL"/>
        </w:rPr>
      </w:pPr>
    </w:p>
    <w:p w14:paraId="3E0B4C60" w14:textId="77777777" w:rsidR="004163EF" w:rsidRDefault="004163EF" w:rsidP="004163EF">
      <w:pPr>
        <w:shd w:val="clear" w:color="auto" w:fill="A8D08D" w:themeFill="accent6" w:themeFillTint="99"/>
        <w:spacing w:line="240" w:lineRule="auto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Podsumowanie budżetu realizacji LSR w statystkach UMWM – w skali województwa małopolskiego</w:t>
      </w:r>
    </w:p>
    <w:p w14:paraId="527DD318" w14:textId="4C7B2E6E" w:rsidR="004163EF" w:rsidRPr="00674A97" w:rsidRDefault="004163EF" w:rsidP="004163EF">
      <w:pPr>
        <w:spacing w:line="240" w:lineRule="auto"/>
        <w:jc w:val="both"/>
        <w:rPr>
          <w:rFonts w:cstheme="minorHAnsi"/>
          <w:bCs/>
          <w:lang w:eastAsia="pl-PL"/>
        </w:rPr>
      </w:pPr>
      <w:r w:rsidRPr="00674A97">
        <w:rPr>
          <w:rFonts w:cstheme="minorHAnsi"/>
          <w:bCs/>
          <w:lang w:eastAsia="pl-PL"/>
        </w:rPr>
        <w:t>W</w:t>
      </w:r>
      <w:r>
        <w:rPr>
          <w:rFonts w:cstheme="minorHAnsi"/>
          <w:bCs/>
          <w:lang w:eastAsia="pl-PL"/>
        </w:rPr>
        <w:t xml:space="preserve"> </w:t>
      </w:r>
      <w:r w:rsidR="000B0086">
        <w:rPr>
          <w:rFonts w:cstheme="minorHAnsi"/>
          <w:bCs/>
          <w:lang w:eastAsia="pl-PL"/>
        </w:rPr>
        <w:t>grudniu</w:t>
      </w:r>
      <w:r w:rsidRPr="00674A97">
        <w:rPr>
          <w:rFonts w:cstheme="minorHAnsi"/>
          <w:bCs/>
          <w:lang w:eastAsia="pl-PL"/>
        </w:rPr>
        <w:t xml:space="preserve"> 202</w:t>
      </w:r>
      <w:r w:rsidR="000B0086">
        <w:rPr>
          <w:rFonts w:cstheme="minorHAnsi"/>
          <w:bCs/>
          <w:lang w:eastAsia="pl-PL"/>
        </w:rPr>
        <w:t>2</w:t>
      </w:r>
      <w:r w:rsidRPr="00674A97">
        <w:rPr>
          <w:rFonts w:cstheme="minorHAnsi"/>
          <w:bCs/>
          <w:lang w:eastAsia="pl-PL"/>
        </w:rPr>
        <w:t xml:space="preserve"> r. UMWM sporządził statystyczne zestawienie wykorzystania budżetu LSR poszczególnych LGD-ów. Na 32 małopolskie lokalne grupy działania, Podhalańska LGD mieściła się na jednych z pierwszych miejsc w zakresie realizacji budżetu LSR – zarówno pod względem środków zakontraktowanych jak i środków wypłaconych. </w:t>
      </w:r>
    </w:p>
    <w:p w14:paraId="40181FDA" w14:textId="5AAF3DC8" w:rsidR="004163EF" w:rsidRDefault="004163EF" w:rsidP="0041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A97">
        <w:rPr>
          <w:rFonts w:eastAsia="Times New Roman" w:cstheme="minorHAnsi"/>
          <w:lang w:eastAsia="pl-PL"/>
        </w:rPr>
        <w:t xml:space="preserve">Według statystyk prowadzonych przez Małopolski SW na </w:t>
      </w:r>
      <w:r w:rsidR="00A13853">
        <w:rPr>
          <w:rFonts w:eastAsia="Times New Roman" w:cstheme="minorHAnsi"/>
          <w:lang w:eastAsia="pl-PL"/>
        </w:rPr>
        <w:t>grudzień</w:t>
      </w:r>
      <w:r w:rsidRPr="00674A97">
        <w:rPr>
          <w:rFonts w:eastAsia="Times New Roman" w:cstheme="minorHAnsi"/>
          <w:lang w:eastAsia="pl-PL"/>
        </w:rPr>
        <w:t xml:space="preserve"> 202</w:t>
      </w:r>
      <w:r>
        <w:rPr>
          <w:rFonts w:eastAsia="Times New Roman" w:cstheme="minorHAnsi"/>
          <w:lang w:eastAsia="pl-PL"/>
        </w:rPr>
        <w:t>1</w:t>
      </w:r>
      <w:r w:rsidRPr="00674A97">
        <w:rPr>
          <w:rFonts w:eastAsia="Times New Roman" w:cstheme="minorHAnsi"/>
          <w:lang w:eastAsia="pl-PL"/>
        </w:rPr>
        <w:t xml:space="preserve"> r. na 32 Lokalne grupy działania</w:t>
      </w:r>
      <w:r>
        <w:rPr>
          <w:rFonts w:eastAsia="Times New Roman" w:cstheme="minorHAnsi"/>
          <w:lang w:eastAsia="pl-PL"/>
        </w:rPr>
        <w:t xml:space="preserve"> </w:t>
      </w:r>
      <w:r w:rsidRPr="00674A97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> </w:t>
      </w:r>
      <w:r w:rsidRPr="00674A97">
        <w:rPr>
          <w:rFonts w:eastAsia="Times New Roman" w:cstheme="minorHAnsi"/>
          <w:lang w:eastAsia="pl-PL"/>
        </w:rPr>
        <w:t xml:space="preserve">Małopolsce, Podhalańska LGD może pochwalić się bardzo wysokim stanem realizacji LSR – zarówno pod względem środków zakontraktowanych – Umowy – </w:t>
      </w:r>
      <w:r>
        <w:rPr>
          <w:rFonts w:eastAsia="Times New Roman" w:cstheme="minorHAnsi"/>
          <w:lang w:eastAsia="pl-PL"/>
        </w:rPr>
        <w:t>8</w:t>
      </w:r>
      <w:r w:rsidR="00A13853">
        <w:rPr>
          <w:rFonts w:eastAsia="Times New Roman" w:cstheme="minorHAnsi"/>
          <w:lang w:eastAsia="pl-PL"/>
        </w:rPr>
        <w:t>4</w:t>
      </w:r>
      <w:r w:rsidRPr="00674A97">
        <w:rPr>
          <w:rFonts w:eastAsia="Times New Roman" w:cstheme="minorHAnsi"/>
          <w:lang w:eastAsia="pl-PL"/>
        </w:rPr>
        <w:t>,</w:t>
      </w:r>
      <w:r w:rsidR="00A13853">
        <w:rPr>
          <w:rFonts w:eastAsia="Times New Roman" w:cstheme="minorHAnsi"/>
          <w:lang w:eastAsia="pl-PL"/>
        </w:rPr>
        <w:t>35</w:t>
      </w:r>
      <w:r w:rsidRPr="00674A97">
        <w:rPr>
          <w:rFonts w:eastAsia="Times New Roman" w:cstheme="minorHAnsi"/>
          <w:lang w:eastAsia="pl-PL"/>
        </w:rPr>
        <w:t>%, jak i środków już wypłaconych –</w:t>
      </w:r>
      <w:r w:rsidR="00A13853">
        <w:rPr>
          <w:rFonts w:eastAsia="Times New Roman" w:cstheme="minorHAnsi"/>
          <w:lang w:eastAsia="pl-PL"/>
        </w:rPr>
        <w:t>73</w:t>
      </w:r>
      <w:r>
        <w:rPr>
          <w:rFonts w:eastAsia="Times New Roman" w:cstheme="minorHAnsi"/>
          <w:lang w:eastAsia="pl-PL"/>
        </w:rPr>
        <w:t>,</w:t>
      </w:r>
      <w:r w:rsidR="00A13853">
        <w:rPr>
          <w:rFonts w:eastAsia="Times New Roman" w:cstheme="minorHAnsi"/>
          <w:lang w:eastAsia="pl-PL"/>
        </w:rPr>
        <w:t>54</w:t>
      </w:r>
      <w:r>
        <w:rPr>
          <w:rFonts w:eastAsia="Times New Roman" w:cstheme="minorHAnsi"/>
          <w:lang w:eastAsia="pl-PL"/>
        </w:rPr>
        <w:t>%</w:t>
      </w:r>
      <w:r w:rsidR="00A13853">
        <w:rPr>
          <w:rFonts w:eastAsia="Times New Roman" w:cstheme="minorHAnsi"/>
          <w:lang w:eastAsia="pl-PL"/>
        </w:rPr>
        <w:t>.</w:t>
      </w:r>
    </w:p>
    <w:p w14:paraId="4484C480" w14:textId="0FE21340" w:rsidR="004163EF" w:rsidRPr="00016C88" w:rsidRDefault="004163EF" w:rsidP="0001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34734063" w14:textId="77777777" w:rsidR="004163EF" w:rsidRDefault="004163EF" w:rsidP="004163EF">
      <w:pPr>
        <w:shd w:val="clear" w:color="auto" w:fill="A8D08D" w:themeFill="accent6" w:themeFillTint="99"/>
        <w:spacing w:line="240" w:lineRule="auto"/>
        <w:rPr>
          <w:rFonts w:cs="Arial"/>
          <w:b/>
          <w:lang w:eastAsia="pl-PL"/>
        </w:rPr>
      </w:pPr>
      <w:r w:rsidRPr="00B67B6A">
        <w:rPr>
          <w:rFonts w:cs="Arial"/>
          <w:b/>
          <w:lang w:eastAsia="pl-PL"/>
        </w:rPr>
        <w:t xml:space="preserve">OPERACJE </w:t>
      </w:r>
      <w:r>
        <w:rPr>
          <w:rFonts w:cs="Arial"/>
          <w:b/>
          <w:lang w:eastAsia="pl-PL"/>
        </w:rPr>
        <w:t xml:space="preserve">zakontraktowane </w:t>
      </w:r>
      <w:r w:rsidRPr="00B67B6A">
        <w:rPr>
          <w:rFonts w:cs="Arial"/>
          <w:b/>
          <w:lang w:eastAsia="pl-PL"/>
        </w:rPr>
        <w:t>(podpisane umowy) w badanym okresie</w:t>
      </w:r>
      <w:r>
        <w:rPr>
          <w:rFonts w:cs="Arial"/>
          <w:b/>
          <w:lang w:eastAsia="pl-PL"/>
        </w:rPr>
        <w:t>.</w:t>
      </w:r>
    </w:p>
    <w:p w14:paraId="4479E04B" w14:textId="3E07013B" w:rsidR="004163EF" w:rsidRDefault="004163EF" w:rsidP="004163EF">
      <w:pPr>
        <w:spacing w:line="240" w:lineRule="auto"/>
        <w:jc w:val="both"/>
        <w:rPr>
          <w:rFonts w:cs="Arial"/>
          <w:lang w:eastAsia="pl-PL"/>
        </w:rPr>
      </w:pPr>
      <w:r w:rsidRPr="00076778">
        <w:rPr>
          <w:rFonts w:cs="Arial"/>
          <w:lang w:eastAsia="pl-PL"/>
        </w:rPr>
        <w:t>W roku 20</w:t>
      </w:r>
      <w:r>
        <w:rPr>
          <w:rFonts w:cs="Arial"/>
          <w:lang w:eastAsia="pl-PL"/>
        </w:rPr>
        <w:t>2</w:t>
      </w:r>
      <w:r w:rsidR="00A13853">
        <w:rPr>
          <w:rFonts w:cs="Arial"/>
          <w:lang w:eastAsia="pl-PL"/>
        </w:rPr>
        <w:t>2</w:t>
      </w:r>
      <w:r w:rsidRPr="00076778">
        <w:rPr>
          <w:rFonts w:cs="Arial"/>
          <w:lang w:eastAsia="pl-PL"/>
        </w:rPr>
        <w:t xml:space="preserve"> zostało podpisanych</w:t>
      </w:r>
      <w:r>
        <w:rPr>
          <w:rFonts w:cs="Arial"/>
          <w:lang w:eastAsia="pl-PL"/>
        </w:rPr>
        <w:t xml:space="preserve"> </w:t>
      </w:r>
      <w:r w:rsidR="00A13853">
        <w:rPr>
          <w:rFonts w:cs="Arial"/>
          <w:lang w:eastAsia="pl-PL"/>
        </w:rPr>
        <w:t>19</w:t>
      </w:r>
      <w:r w:rsidRPr="00076778">
        <w:rPr>
          <w:rFonts w:cs="Arial"/>
          <w:lang w:eastAsia="pl-PL"/>
        </w:rPr>
        <w:t xml:space="preserve"> umów przyznania pomocy z UMWM w ramach poddziałania PROW 19.</w:t>
      </w:r>
      <w:r w:rsidR="00A13853">
        <w:rPr>
          <w:rFonts w:cs="Arial"/>
          <w:lang w:eastAsia="pl-PL"/>
        </w:rPr>
        <w:t>2</w:t>
      </w:r>
      <w:r w:rsidRPr="00076778">
        <w:rPr>
          <w:rFonts w:cs="Arial"/>
          <w:lang w:eastAsia="pl-PL"/>
        </w:rPr>
        <w:t>. Wsparcie na wdrażanie operacji w ramach LSR. Wraz z umowami podpisanymi w</w:t>
      </w:r>
      <w:r>
        <w:rPr>
          <w:rFonts w:cs="Arial"/>
          <w:lang w:eastAsia="pl-PL"/>
        </w:rPr>
        <w:t xml:space="preserve"> </w:t>
      </w:r>
      <w:r w:rsidR="00A13853">
        <w:rPr>
          <w:rFonts w:cs="Arial"/>
          <w:lang w:eastAsia="pl-PL"/>
        </w:rPr>
        <w:t>latach 2021-20</w:t>
      </w:r>
      <w:r w:rsidRPr="00076778">
        <w:rPr>
          <w:rFonts w:cs="Arial"/>
          <w:lang w:eastAsia="pl-PL"/>
        </w:rPr>
        <w:t xml:space="preserve">17  mamy łącznie </w:t>
      </w:r>
      <w:r w:rsidR="00A13853">
        <w:rPr>
          <w:rFonts w:cs="Arial"/>
          <w:lang w:eastAsia="pl-PL"/>
        </w:rPr>
        <w:t>102</w:t>
      </w:r>
      <w:r>
        <w:rPr>
          <w:rFonts w:cs="Arial"/>
          <w:lang w:eastAsia="pl-PL"/>
        </w:rPr>
        <w:t xml:space="preserve"> (</w:t>
      </w:r>
      <w:r w:rsidR="00A13853">
        <w:rPr>
          <w:rFonts w:cs="Arial"/>
          <w:lang w:eastAsia="pl-PL"/>
        </w:rPr>
        <w:t>83</w:t>
      </w:r>
      <w:r>
        <w:rPr>
          <w:rFonts w:cs="Arial"/>
          <w:lang w:eastAsia="pl-PL"/>
        </w:rPr>
        <w:t xml:space="preserve"> + </w:t>
      </w:r>
      <w:r w:rsidR="00A13853">
        <w:rPr>
          <w:rFonts w:cs="Arial"/>
          <w:lang w:eastAsia="pl-PL"/>
        </w:rPr>
        <w:t>19</w:t>
      </w:r>
      <w:r>
        <w:rPr>
          <w:rFonts w:cs="Arial"/>
          <w:lang w:eastAsia="pl-PL"/>
        </w:rPr>
        <w:t>)</w:t>
      </w:r>
      <w:r w:rsidRPr="00076778">
        <w:rPr>
          <w:rFonts w:cs="Arial"/>
          <w:lang w:eastAsia="pl-PL"/>
        </w:rPr>
        <w:t xml:space="preserve"> podpisane umowy. Spośród </w:t>
      </w:r>
      <w:r w:rsidR="00A13853">
        <w:rPr>
          <w:rFonts w:cs="Arial"/>
          <w:lang w:eastAsia="pl-PL"/>
        </w:rPr>
        <w:t>102</w:t>
      </w:r>
      <w:r w:rsidRPr="00076778">
        <w:rPr>
          <w:rFonts w:cs="Arial"/>
          <w:lang w:eastAsia="pl-PL"/>
        </w:rPr>
        <w:t xml:space="preserve"> podpisanych umów</w:t>
      </w:r>
      <w:r>
        <w:rPr>
          <w:rFonts w:cs="Arial"/>
          <w:lang w:eastAsia="pl-PL"/>
        </w:rPr>
        <w:t xml:space="preserve"> w ramach działania 19.2. na obszarze PLGD 4 zostały rozwiązane na wniosek wnioskodawców, 1 rozwiązana na wezwanie ZW – windykacja środków. </w:t>
      </w:r>
    </w:p>
    <w:p w14:paraId="129E7E48" w14:textId="77777777" w:rsidR="004163EF" w:rsidRPr="00672A69" w:rsidRDefault="004163EF" w:rsidP="004163EF">
      <w:pPr>
        <w:spacing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Tabela.2. </w:t>
      </w:r>
      <w:r w:rsidRPr="00672A69">
        <w:rPr>
          <w:rFonts w:cs="Arial"/>
          <w:b/>
          <w:bCs/>
          <w:lang w:eastAsia="pl-PL"/>
        </w:rPr>
        <w:t>Podpisane umowy w 202</w:t>
      </w:r>
      <w:r>
        <w:rPr>
          <w:rFonts w:cs="Arial"/>
          <w:b/>
          <w:bCs/>
          <w:lang w:eastAsia="pl-PL"/>
        </w:rPr>
        <w:t>1</w:t>
      </w:r>
      <w:r w:rsidRPr="00672A69">
        <w:rPr>
          <w:rFonts w:cs="Arial"/>
          <w:b/>
          <w:bCs/>
          <w:lang w:eastAsia="pl-PL"/>
        </w:rPr>
        <w:t xml:space="preserve"> roku: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13"/>
        <w:gridCol w:w="3969"/>
        <w:gridCol w:w="1253"/>
        <w:gridCol w:w="1582"/>
      </w:tblGrid>
      <w:tr w:rsidR="004163EF" w:rsidRPr="006E3F19" w14:paraId="4C477818" w14:textId="77777777" w:rsidTr="00EC48B7">
        <w:trPr>
          <w:trHeight w:val="45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55F4C3F" w14:textId="77777777" w:rsidR="004163EF" w:rsidRPr="00F84890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8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FD00A7" w14:textId="77777777" w:rsidR="004163EF" w:rsidRPr="00F84890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84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0ED27E" w14:textId="77777777" w:rsidR="004163EF" w:rsidRPr="00F84890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84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 operacji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AE2516" w14:textId="75E33C39" w:rsidR="004163EF" w:rsidRPr="00F84890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84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="00D45E8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naboru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6D17378" w14:textId="77777777" w:rsidR="004163EF" w:rsidRPr="00F84890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848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przedsięwzięcia LSR</w:t>
            </w:r>
          </w:p>
        </w:tc>
      </w:tr>
      <w:tr w:rsidR="00A13853" w:rsidRPr="006E3F19" w14:paraId="5946742C" w14:textId="77777777" w:rsidTr="00D45E8C">
        <w:trPr>
          <w:trHeight w:val="8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6FEB7" w14:textId="77777777" w:rsidR="00A13853" w:rsidRPr="00D45E8C" w:rsidRDefault="00A13853" w:rsidP="00A138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60F" w14:textId="4848285D" w:rsidR="00A13853" w:rsidRPr="00D45E8C" w:rsidRDefault="00A13853" w:rsidP="00D45E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Ochotnicza Straż Pożarna w Witowie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0F6E" w14:textId="4E4C5D1F" w:rsidR="00A13853" w:rsidRPr="00D45E8C" w:rsidRDefault="00A13853" w:rsidP="00D45E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 xml:space="preserve">Zagospodarowanie terenu wokół OSP Witów, poprzez budowę </w:t>
            </w:r>
            <w:proofErr w:type="spellStart"/>
            <w:r w:rsidRPr="00D45E8C">
              <w:rPr>
                <w:rFonts w:cstheme="minorHAnsi"/>
                <w:color w:val="000000"/>
                <w:sz w:val="18"/>
                <w:szCs w:val="18"/>
              </w:rPr>
              <w:t>ogólnodostębnego</w:t>
            </w:r>
            <w:proofErr w:type="spellEnd"/>
            <w:r w:rsidRPr="00D45E8C">
              <w:rPr>
                <w:rFonts w:cstheme="minorHAnsi"/>
                <w:color w:val="000000"/>
                <w:sz w:val="18"/>
                <w:szCs w:val="18"/>
              </w:rPr>
              <w:t xml:space="preserve"> parkingu (</w:t>
            </w:r>
            <w:proofErr w:type="spellStart"/>
            <w:r w:rsidRPr="00D45E8C">
              <w:rPr>
                <w:rFonts w:cstheme="minorHAnsi"/>
                <w:color w:val="000000"/>
                <w:sz w:val="18"/>
                <w:szCs w:val="18"/>
              </w:rPr>
              <w:t>bike</w:t>
            </w:r>
            <w:proofErr w:type="spellEnd"/>
            <w:r w:rsidRPr="00D45E8C">
              <w:rPr>
                <w:rFonts w:cstheme="minorHAnsi"/>
                <w:color w:val="000000"/>
                <w:sz w:val="18"/>
                <w:szCs w:val="18"/>
              </w:rPr>
              <w:t xml:space="preserve"> stop) oraz budowę siłowni zewnętrznej dostosowanej również do potrzeb osób niepełnosprawnych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3A85B" w14:textId="3769661B" w:rsidR="00A13853" w:rsidRPr="00D45E8C" w:rsidRDefault="00A13853" w:rsidP="00A1385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sz w:val="18"/>
                <w:szCs w:val="18"/>
              </w:rPr>
              <w:t>4/2021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E8A24" w14:textId="0D483A3E" w:rsidR="00A13853" w:rsidRPr="00D45E8C" w:rsidRDefault="00A13853" w:rsidP="00A1385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sz w:val="18"/>
                <w:szCs w:val="18"/>
                <w:lang w:eastAsia="pl-PL"/>
              </w:rPr>
              <w:t>1.1.1</w:t>
            </w:r>
          </w:p>
        </w:tc>
      </w:tr>
      <w:tr w:rsidR="00A13853" w:rsidRPr="006E3F19" w14:paraId="353C6130" w14:textId="77777777" w:rsidTr="00D45E8C">
        <w:trPr>
          <w:trHeight w:val="7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EE3A7CD" w14:textId="77777777" w:rsidR="00A13853" w:rsidRPr="00D45E8C" w:rsidRDefault="00A13853" w:rsidP="00A138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A97248" w14:textId="57868A60" w:rsidR="00A13853" w:rsidRPr="00D45E8C" w:rsidRDefault="00A13853" w:rsidP="00D45E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Ochotnicza Straż Pożarna w Białym Dunajcu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923C73" w14:textId="02A456B5" w:rsidR="00A13853" w:rsidRPr="00D45E8C" w:rsidRDefault="00A13853" w:rsidP="00D45E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Modernizacja pomieszczeń zaplecza gastronomicznego budynku Ochotniczej Straży Pożarnej w Białym Dunajcu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25F134" w14:textId="153C07B5" w:rsidR="00A13853" w:rsidRPr="00D45E8C" w:rsidRDefault="00A13853" w:rsidP="00A1385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3/202</w:t>
            </w:r>
            <w:r w:rsidR="00D45E8C" w:rsidRPr="00D45E8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8A3212C" w14:textId="77777777" w:rsidR="00A13853" w:rsidRPr="00D45E8C" w:rsidRDefault="00A13853" w:rsidP="00A1385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sz w:val="18"/>
                <w:szCs w:val="18"/>
                <w:lang w:eastAsia="pl-PL"/>
              </w:rPr>
              <w:t>1.2.3.</w:t>
            </w:r>
          </w:p>
        </w:tc>
      </w:tr>
      <w:tr w:rsidR="00A13853" w:rsidRPr="006E3F19" w14:paraId="2FA68E9D" w14:textId="77777777" w:rsidTr="00D45E8C">
        <w:trPr>
          <w:trHeight w:val="6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3DDC" w14:textId="77777777" w:rsidR="00A13853" w:rsidRPr="00D45E8C" w:rsidRDefault="00A13853" w:rsidP="00A138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0F71" w14:textId="7156A243" w:rsidR="00A13853" w:rsidRPr="00D45E8C" w:rsidRDefault="00A13853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Ochotnicza Straż Pożarna w Gliczarowie Górnym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38D1" w14:textId="2CCF8EF0" w:rsidR="00A13853" w:rsidRPr="00D45E8C" w:rsidRDefault="00A13853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 xml:space="preserve">Warsztaty przy </w:t>
            </w:r>
            <w:proofErr w:type="spellStart"/>
            <w:r w:rsidRPr="00D45E8C">
              <w:rPr>
                <w:rFonts w:cstheme="minorHAnsi"/>
                <w:color w:val="000000"/>
                <w:sz w:val="18"/>
                <w:szCs w:val="18"/>
              </w:rPr>
              <w:t>moskolu</w:t>
            </w:r>
            <w:proofErr w:type="spellEnd"/>
            <w:r w:rsidRPr="00D45E8C">
              <w:rPr>
                <w:rFonts w:cstheme="minorHAnsi"/>
                <w:color w:val="000000"/>
                <w:sz w:val="18"/>
                <w:szCs w:val="18"/>
              </w:rPr>
              <w:t xml:space="preserve"> - zakup wyposażenia do ogólnodostępnej kuchni i organizacja warsztatów kulinarnych dla mieszkańców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90CE" w14:textId="3D80F3E4" w:rsidR="00A13853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3/2021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F172" w14:textId="77777777" w:rsidR="00A13853" w:rsidRPr="00D45E8C" w:rsidRDefault="00A13853" w:rsidP="00A13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2.1.1.</w:t>
            </w:r>
          </w:p>
        </w:tc>
      </w:tr>
      <w:tr w:rsidR="00A13853" w:rsidRPr="006E3F19" w14:paraId="3CAAE070" w14:textId="77777777" w:rsidTr="00D45E8C">
        <w:trPr>
          <w:trHeight w:val="7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3B9DB9A" w14:textId="77777777" w:rsidR="00A13853" w:rsidRPr="00D45E8C" w:rsidRDefault="00A13853" w:rsidP="00A138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C2A701F" w14:textId="13EA93C4" w:rsidR="00A13853" w:rsidRPr="00D45E8C" w:rsidRDefault="00A13853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Stowarzyszenie Rozwoju Podtatrza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31C328B" w14:textId="38B5A407" w:rsidR="00A13853" w:rsidRPr="00D45E8C" w:rsidRDefault="00A13853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Bliżej siebie, bliżej natury - warsztaty dla dorosłych i dzieci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CC042C" w14:textId="4DA29648" w:rsidR="00A13853" w:rsidRPr="00D45E8C" w:rsidRDefault="00D45E8C" w:rsidP="00A13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3/2021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8C141" w14:textId="77777777" w:rsidR="00A13853" w:rsidRPr="00D45E8C" w:rsidRDefault="00A13853" w:rsidP="00A13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2.1.1.</w:t>
            </w:r>
          </w:p>
        </w:tc>
      </w:tr>
      <w:tr w:rsidR="00A13853" w:rsidRPr="006E3F19" w14:paraId="0335E45C" w14:textId="77777777" w:rsidTr="00D45E8C">
        <w:trPr>
          <w:trHeight w:val="5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EC0D" w14:textId="77777777" w:rsidR="00A13853" w:rsidRPr="00D45E8C" w:rsidRDefault="00A13853" w:rsidP="00A1385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6D83" w14:textId="7B097E43" w:rsidR="00A13853" w:rsidRPr="00D45E8C" w:rsidRDefault="00A13853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 xml:space="preserve">Klub Sportowy </w:t>
            </w:r>
            <w:proofErr w:type="spellStart"/>
            <w:r w:rsidRPr="00D45E8C">
              <w:rPr>
                <w:rFonts w:cstheme="minorHAnsi"/>
                <w:color w:val="000000"/>
                <w:sz w:val="18"/>
                <w:szCs w:val="18"/>
              </w:rPr>
              <w:t>Rutkow-ski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1CAC" w14:textId="7D258E47" w:rsidR="00A13853" w:rsidRPr="00D45E8C" w:rsidRDefault="00A13853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Młodzi skoczkowie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DA69" w14:textId="121C70AB" w:rsidR="00A13853" w:rsidRPr="00D45E8C" w:rsidRDefault="00D45E8C" w:rsidP="00A13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3/2021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C597" w14:textId="77777777" w:rsidR="00A13853" w:rsidRPr="00D45E8C" w:rsidRDefault="00A13853" w:rsidP="00A13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2.1.1.</w:t>
            </w:r>
          </w:p>
        </w:tc>
      </w:tr>
      <w:tr w:rsidR="00D45E8C" w:rsidRPr="006E3F19" w14:paraId="5C0AE9C9" w14:textId="77777777" w:rsidTr="00D45E8C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586613B" w14:textId="77777777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4CFD09" w14:textId="70974768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 xml:space="preserve">Menedez Kwiatkowska </w:t>
            </w:r>
            <w:proofErr w:type="spellStart"/>
            <w:r w:rsidRPr="00D45E8C">
              <w:rPr>
                <w:rFonts w:cstheme="minorHAnsi"/>
                <w:color w:val="000000"/>
                <w:sz w:val="18"/>
                <w:szCs w:val="18"/>
              </w:rPr>
              <w:t>Ines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9422A0" w14:textId="41E4754B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Uruchomienie wypożyczalni rowerów elektrycznych i taksówki rowerowej w Poroninie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014497" w14:textId="71B56D7D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B14758" w14:textId="77777777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2.1.1.</w:t>
            </w:r>
          </w:p>
        </w:tc>
      </w:tr>
      <w:tr w:rsidR="00D45E8C" w:rsidRPr="006E3F19" w14:paraId="147C7DE4" w14:textId="77777777" w:rsidTr="00D45E8C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36EF" w14:textId="1DBC00FE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76656" w14:textId="74749EAD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 xml:space="preserve">Paweł </w:t>
            </w:r>
            <w:proofErr w:type="spellStart"/>
            <w:r w:rsidRPr="00D45E8C">
              <w:rPr>
                <w:rFonts w:cstheme="minorHAnsi"/>
                <w:sz w:val="18"/>
                <w:szCs w:val="18"/>
              </w:rPr>
              <w:t>Strama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DC04A" w14:textId="38F84A49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Utworzenia działalności gospodarczej w zakresie innowacyjnej mobilnej wypożyczalni sprzętu sportowo- rekreacyjnego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C8EC" w14:textId="6C03EB2A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F11A" w14:textId="5ECC48B2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4ECF23F9" w14:textId="77777777" w:rsidTr="00D45E8C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2BF142B" w14:textId="507EE1DC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7757370" w14:textId="28469AAD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Tomasz Budzyński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FDA63E7" w14:textId="37A8B59E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Podejmowanie działalności gospodarczej w zakresie nowatorskich usług w branży prawnej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379B69" w14:textId="08217A70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520D26" w14:textId="245F4458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015F5894" w14:textId="77777777" w:rsidTr="00D45E8C">
        <w:trPr>
          <w:trHeight w:val="4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D94B" w14:textId="2EAB9E76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0EEB5" w14:textId="5E4C2EE9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 xml:space="preserve">Michał </w:t>
            </w:r>
            <w:proofErr w:type="spellStart"/>
            <w:r w:rsidRPr="00D45E8C">
              <w:rPr>
                <w:rFonts w:cstheme="minorHAnsi"/>
                <w:sz w:val="18"/>
                <w:szCs w:val="18"/>
              </w:rPr>
              <w:t>Fasiczka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27523" w14:textId="2BB0898C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Baw się dobrze w każdym wieku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A252" w14:textId="0F8E6030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FF21" w14:textId="1D105278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2A7213D5" w14:textId="77777777" w:rsidTr="00D45E8C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9DE1C1A" w14:textId="340BB302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8E8CA18" w14:textId="2E997EBA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 xml:space="preserve">Halina </w:t>
            </w:r>
            <w:proofErr w:type="spellStart"/>
            <w:r w:rsidRPr="00D45E8C">
              <w:rPr>
                <w:rFonts w:cstheme="minorHAnsi"/>
                <w:sz w:val="18"/>
                <w:szCs w:val="18"/>
              </w:rPr>
              <w:t>Gattner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59DBA7D" w14:textId="519F6841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Podjęcie działalności gospodarczej w zakresie świadczenia usług kosmetologiczno-fizjoterapeutycznych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07F0A1" w14:textId="2C7900FC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A71233" w14:textId="5EF0BE17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6E90C812" w14:textId="77777777" w:rsidTr="00D45E8C">
        <w:trPr>
          <w:trHeight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B176" w14:textId="70FAB8CD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FE717" w14:textId="6B6F78C7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Łukasz Rutkowski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1346C" w14:textId="2E794B1A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Szkoła mistrzów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EFA0" w14:textId="07DC84CC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7F2E" w14:textId="2A8BFEA4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208CACD0" w14:textId="77777777" w:rsidTr="00D45E8C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F2F193D" w14:textId="0B8FCB41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CE80CEE" w14:textId="7E42F1FE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 xml:space="preserve">Andrzej </w:t>
            </w:r>
            <w:proofErr w:type="spellStart"/>
            <w:r w:rsidRPr="00D45E8C">
              <w:rPr>
                <w:rFonts w:cstheme="minorHAnsi"/>
                <w:sz w:val="18"/>
                <w:szCs w:val="18"/>
              </w:rPr>
              <w:t>Strama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D44E326" w14:textId="694A9D66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 xml:space="preserve">Utworzenia nowej działalności gospodarczej w zakresie tworzenia innowacyjnych ogrodów </w:t>
            </w:r>
            <w:proofErr w:type="spellStart"/>
            <w:r w:rsidRPr="00D45E8C">
              <w:rPr>
                <w:rFonts w:cstheme="minorHAnsi"/>
                <w:sz w:val="18"/>
                <w:szCs w:val="18"/>
              </w:rPr>
              <w:t>hortiterapeutycznych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CAF6BA" w14:textId="5C6AD2C3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683A2E" w14:textId="7D7ADC91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5E05AE2C" w14:textId="77777777" w:rsidTr="00D45E8C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EC57" w14:textId="7949CDF2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397A6" w14:textId="6E854345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Kinga Drewniak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DB789" w14:textId="09729984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Utworzenie na terenie Podhalańskiej LGD nowej firmy w branży medycznej zakresie świadczenia usług Certyfikowanego Doradcy Laktacyjnego oraz stworzenie Centrum holistycznej opieki nad kobietą w ciąży oraz przyszłymi rodzicami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E2E8" w14:textId="6EFECAF6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37A" w14:textId="2B2122E3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7E8D27EB" w14:textId="77777777" w:rsidTr="00D45E8C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28CCC89" w14:textId="7600DD94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E8F64CF" w14:textId="0C7822B7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 xml:space="preserve">Bartłomiej </w:t>
            </w:r>
            <w:proofErr w:type="spellStart"/>
            <w:r w:rsidRPr="00D45E8C">
              <w:rPr>
                <w:rFonts w:cstheme="minorHAnsi"/>
                <w:sz w:val="18"/>
                <w:szCs w:val="18"/>
              </w:rPr>
              <w:t>Rusnak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1E1B2627" w14:textId="77D87E13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Utworzenie nowej działalności gospodarczej świadczącej innowacyjne usługi na obszarze Podhalańskiej LGD w branży spawalniczej.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936E8D" w14:textId="0F6ECB72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04DC88" w14:textId="14A21ECC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77C69CA8" w14:textId="77777777" w:rsidTr="00D45E8C">
        <w:trPr>
          <w:trHeight w:val="3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B48C" w14:textId="5892A70D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C14F4" w14:textId="47699690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Ireneusz Nowogórski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CDA63" w14:textId="38C1EF4D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Innowacyjny punkt usługowo komisowy.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EAA4" w14:textId="1C68B19A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E53" w14:textId="5811BC69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1E91C935" w14:textId="77777777" w:rsidTr="00D45E8C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944F034" w14:textId="0A51CB77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4BFB916" w14:textId="0306206A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sz w:val="18"/>
                <w:szCs w:val="18"/>
              </w:rPr>
              <w:t>Marcin Chowaniec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A2C2B54" w14:textId="1D1621E8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Utworzenie na terenie Podhalańskiej LGD nowej firmy w branży wynajmu mieszkania o nazwie "</w:t>
            </w:r>
            <w:proofErr w:type="spellStart"/>
            <w:r w:rsidRPr="00D45E8C">
              <w:rPr>
                <w:rFonts w:cstheme="minorHAnsi"/>
                <w:color w:val="000000"/>
                <w:sz w:val="18"/>
                <w:szCs w:val="18"/>
              </w:rPr>
              <w:t>ArcHom</w:t>
            </w:r>
            <w:proofErr w:type="spellEnd"/>
            <w:r w:rsidRPr="00D45E8C">
              <w:rPr>
                <w:rFonts w:cstheme="minorHAnsi"/>
                <w:color w:val="000000"/>
                <w:sz w:val="18"/>
                <w:szCs w:val="18"/>
              </w:rPr>
              <w:t xml:space="preserve"> Marcin Chowaniec"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87010C" w14:textId="3E08A02C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3FE06F" w14:textId="3CEFA0BA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06EC59F0" w14:textId="77777777" w:rsidTr="00D45E8C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C145" w14:textId="6DBDB0FC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A4D4D" w14:textId="751F78E1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 xml:space="preserve">Kacper </w:t>
            </w:r>
            <w:proofErr w:type="spellStart"/>
            <w:r w:rsidRPr="00D45E8C">
              <w:rPr>
                <w:rFonts w:cstheme="minorHAnsi"/>
                <w:color w:val="000000"/>
                <w:sz w:val="18"/>
                <w:szCs w:val="18"/>
              </w:rPr>
              <w:t>Strama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48FFD" w14:textId="536D380A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E8C">
              <w:rPr>
                <w:rFonts w:cstheme="minorHAnsi"/>
                <w:color w:val="000000"/>
                <w:sz w:val="18"/>
                <w:szCs w:val="18"/>
              </w:rPr>
              <w:t>Utworzenie na terenie Podhalańskiej Lokalnej Grupy Działania nowej firmy świadczącej usługi z zakresu czyszczenia kostki brukowej i elewacji o nazwie "</w:t>
            </w:r>
            <w:proofErr w:type="spellStart"/>
            <w:r w:rsidRPr="00D45E8C">
              <w:rPr>
                <w:rFonts w:cstheme="minorHAnsi"/>
                <w:color w:val="000000"/>
                <w:sz w:val="18"/>
                <w:szCs w:val="18"/>
              </w:rPr>
              <w:t>Strama</w:t>
            </w:r>
            <w:proofErr w:type="spellEnd"/>
            <w:r w:rsidRPr="00D45E8C">
              <w:rPr>
                <w:rFonts w:cstheme="minorHAnsi"/>
                <w:color w:val="000000"/>
                <w:sz w:val="18"/>
                <w:szCs w:val="18"/>
              </w:rPr>
              <w:t xml:space="preserve"> - czyszczenie kostki brukowej i elewacji"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B10E" w14:textId="65CD26DA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3F40" w14:textId="6873E46A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2.1.1</w:t>
            </w:r>
          </w:p>
        </w:tc>
      </w:tr>
      <w:tr w:rsidR="00D45E8C" w:rsidRPr="006E3F19" w14:paraId="2D344694" w14:textId="77777777" w:rsidTr="00D45E8C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1825A69" w14:textId="0AD319D8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0D3462F" w14:textId="200BAB7B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1" w:name="RANGE!C99"/>
            <w:r w:rsidRPr="00D45E8C">
              <w:rPr>
                <w:rFonts w:cstheme="minorHAnsi"/>
                <w:color w:val="000000"/>
                <w:sz w:val="18"/>
                <w:szCs w:val="18"/>
              </w:rPr>
              <w:t>KBI - STAL SPÓŁKA Z OGRANICZONĄ ODPOWIEDZIALNOŚCIĄ</w:t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4386353" w14:textId="7ABE4AF9" w:rsidR="00D45E8C" w:rsidRPr="00D45E8C" w:rsidRDefault="00D45E8C" w:rsidP="00D45E8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2" w:name="RANGE!D99"/>
            <w:r w:rsidRPr="00D45E8C">
              <w:rPr>
                <w:rFonts w:cstheme="minorHAnsi"/>
                <w:color w:val="000000"/>
                <w:sz w:val="18"/>
                <w:szCs w:val="18"/>
              </w:rPr>
              <w:t>Podniesienie konkurencyjności firmy KBI - STAL Sp. z o.o. poprzez wdrożenie innowacyjnego sposobu obróbki metali przy użyciu innowacyjnej wycinarki plazmowej</w:t>
            </w:r>
            <w:bookmarkEnd w:id="2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47305C" w14:textId="7DF171D2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2/2022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16FEA8" w14:textId="3C655206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2.1.2</w:t>
            </w:r>
          </w:p>
        </w:tc>
      </w:tr>
      <w:tr w:rsidR="00D45E8C" w:rsidRPr="006E3F19" w14:paraId="606D6E9D" w14:textId="77777777" w:rsidTr="00D45E8C">
        <w:trPr>
          <w:trHeight w:val="6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B6BD" w14:textId="2A20CDD2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A27A9" w14:textId="03F02AD2" w:rsidR="00D45E8C" w:rsidRPr="00D45E8C" w:rsidRDefault="00D45E8C" w:rsidP="00D45E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bookmarkStart w:id="3" w:name="RANGE!C100"/>
            <w:r w:rsidRPr="00D45E8C">
              <w:rPr>
                <w:rFonts w:cstheme="minorHAnsi"/>
                <w:color w:val="000000"/>
                <w:sz w:val="18"/>
                <w:szCs w:val="18"/>
              </w:rPr>
              <w:t>Stanisław Waliczek TRANSKOP</w:t>
            </w:r>
            <w:bookmarkEnd w:id="3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003E4F" w14:textId="46167F45" w:rsidR="00D45E8C" w:rsidRPr="00D45E8C" w:rsidRDefault="00D45E8C" w:rsidP="00D45E8C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bookmarkStart w:id="4" w:name="RANGE!D100"/>
            <w:r w:rsidRPr="00D45E8C">
              <w:rPr>
                <w:rFonts w:cstheme="minorHAnsi"/>
                <w:color w:val="000000"/>
                <w:sz w:val="18"/>
                <w:szCs w:val="18"/>
              </w:rPr>
              <w:t>Rozwój firmy poprzez wprowadzenie innowacyjnych usług</w:t>
            </w:r>
            <w:bookmarkEnd w:id="4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3437" w14:textId="15023238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2/2021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01D0" w14:textId="5DDCA80E" w:rsidR="00D45E8C" w:rsidRPr="00D45E8C" w:rsidRDefault="00D45E8C" w:rsidP="00D45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E8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2.1.2</w:t>
            </w:r>
          </w:p>
        </w:tc>
      </w:tr>
    </w:tbl>
    <w:p w14:paraId="61396628" w14:textId="77777777" w:rsidR="004163EF" w:rsidRDefault="004163EF" w:rsidP="004163EF">
      <w:pPr>
        <w:spacing w:line="240" w:lineRule="auto"/>
        <w:jc w:val="both"/>
        <w:rPr>
          <w:rFonts w:cs="Arial"/>
          <w:lang w:eastAsia="pl-PL"/>
        </w:rPr>
      </w:pPr>
    </w:p>
    <w:p w14:paraId="721106A9" w14:textId="17BCDE0D" w:rsidR="004163EF" w:rsidRDefault="004163EF" w:rsidP="004163EF">
      <w:pPr>
        <w:spacing w:line="240" w:lineRule="auto"/>
        <w:jc w:val="both"/>
        <w:rPr>
          <w:rFonts w:cstheme="minorHAnsi"/>
          <w:lang w:eastAsia="pl-PL"/>
        </w:rPr>
      </w:pPr>
      <w:r>
        <w:rPr>
          <w:rFonts w:cs="Arial"/>
          <w:lang w:eastAsia="pl-PL"/>
        </w:rPr>
        <w:t>W ocenie w UMWM na dzień 31.12.202</w:t>
      </w:r>
      <w:r w:rsidR="00D45E8C">
        <w:rPr>
          <w:rFonts w:cs="Arial"/>
          <w:lang w:eastAsia="pl-PL"/>
        </w:rPr>
        <w:t>2</w:t>
      </w:r>
      <w:r>
        <w:rPr>
          <w:rFonts w:cs="Arial"/>
          <w:lang w:eastAsia="pl-PL"/>
        </w:rPr>
        <w:t xml:space="preserve"> r. było </w:t>
      </w:r>
      <w:r w:rsidR="00D45E8C">
        <w:rPr>
          <w:rFonts w:cs="Arial"/>
          <w:lang w:eastAsia="pl-PL"/>
        </w:rPr>
        <w:t>8</w:t>
      </w:r>
      <w:r>
        <w:rPr>
          <w:rFonts w:cs="Arial"/>
          <w:lang w:eastAsia="pl-PL"/>
        </w:rPr>
        <w:t xml:space="preserve"> wniosków o przyznanie pomocy, do dnia sporządzenia raportu, </w:t>
      </w:r>
      <w:r w:rsidRPr="00F84890">
        <w:rPr>
          <w:rFonts w:cstheme="minorHAnsi"/>
          <w:lang w:eastAsia="pl-PL"/>
        </w:rPr>
        <w:t>nie podpisano jeszcze umów na ich realizację.</w:t>
      </w:r>
    </w:p>
    <w:p w14:paraId="12398472" w14:textId="77777777" w:rsidR="004163EF" w:rsidRPr="00F84890" w:rsidRDefault="004163EF" w:rsidP="004163EF">
      <w:pPr>
        <w:spacing w:after="0" w:line="240" w:lineRule="auto"/>
        <w:jc w:val="both"/>
        <w:rPr>
          <w:rFonts w:cstheme="minorHAnsi"/>
          <w:lang w:eastAsia="pl-PL"/>
        </w:rPr>
      </w:pPr>
    </w:p>
    <w:p w14:paraId="439AD76A" w14:textId="77777777" w:rsidR="004163EF" w:rsidRPr="00F84890" w:rsidRDefault="004163EF" w:rsidP="004163EF">
      <w:pPr>
        <w:shd w:val="clear" w:color="auto" w:fill="FFFFFF" w:themeFill="background1"/>
        <w:spacing w:after="0" w:line="276" w:lineRule="auto"/>
        <w:jc w:val="both"/>
        <w:rPr>
          <w:rFonts w:cstheme="minorHAnsi"/>
          <w:b/>
          <w:bCs/>
          <w:lang w:eastAsia="pl-PL"/>
        </w:rPr>
      </w:pPr>
      <w:r w:rsidRPr="00F84890">
        <w:rPr>
          <w:rFonts w:cstheme="minorHAnsi"/>
          <w:b/>
          <w:bCs/>
          <w:lang w:eastAsia="pl-PL"/>
        </w:rPr>
        <w:t>W budżecie LSR pozostały środki umożliwiające ogłoszenie naborów wniosków w zakresie:</w:t>
      </w:r>
    </w:p>
    <w:p w14:paraId="2FA31F22" w14:textId="77777777" w:rsidR="00D45E8C" w:rsidRDefault="004163EF" w:rsidP="00DF5947">
      <w:pPr>
        <w:pStyle w:val="Akapitzlist"/>
        <w:numPr>
          <w:ilvl w:val="0"/>
          <w:numId w:val="19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lang w:val="pl-PL" w:eastAsia="pl-PL"/>
        </w:rPr>
      </w:pPr>
      <w:r w:rsidRPr="00D45E8C">
        <w:rPr>
          <w:rFonts w:asciiTheme="minorHAnsi" w:hAnsiTheme="minorHAnsi" w:cstheme="minorHAnsi"/>
          <w:lang w:val="pl-PL" w:eastAsia="pl-PL"/>
        </w:rPr>
        <w:t>Poddziałania 2.1.1. (Premia na start)</w:t>
      </w:r>
      <w:r w:rsidR="00D45E8C">
        <w:rPr>
          <w:rFonts w:asciiTheme="minorHAnsi" w:hAnsiTheme="minorHAnsi" w:cstheme="minorHAnsi"/>
          <w:lang w:val="pl-PL" w:eastAsia="pl-PL"/>
        </w:rPr>
        <w:t xml:space="preserve">, 1.1.1 (Infrastruktura), 1.2.3 (działalność statutowa organizacji) </w:t>
      </w:r>
    </w:p>
    <w:p w14:paraId="07419D30" w14:textId="18D830BD" w:rsidR="004163EF" w:rsidRPr="00D45E8C" w:rsidRDefault="004163EF" w:rsidP="00DF5947">
      <w:pPr>
        <w:pStyle w:val="Akapitzlist"/>
        <w:numPr>
          <w:ilvl w:val="0"/>
          <w:numId w:val="19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lang w:val="pl-PL" w:eastAsia="pl-PL"/>
        </w:rPr>
      </w:pPr>
      <w:r w:rsidRPr="00D45E8C">
        <w:rPr>
          <w:rFonts w:asciiTheme="minorHAnsi" w:hAnsiTheme="minorHAnsi" w:cstheme="minorHAnsi"/>
          <w:lang w:val="pl-PL" w:eastAsia="pl-PL"/>
        </w:rPr>
        <w:t xml:space="preserve">Poddziałania 2.1.2. (Rozwoju przedsiębiorstw) z pulą środków </w:t>
      </w:r>
      <w:r w:rsidR="00D45E8C">
        <w:rPr>
          <w:rFonts w:asciiTheme="minorHAnsi" w:hAnsiTheme="minorHAnsi" w:cstheme="minorHAnsi"/>
          <w:lang w:val="pl-PL" w:eastAsia="pl-PL"/>
        </w:rPr>
        <w:t>153 420,00</w:t>
      </w:r>
      <w:r w:rsidRPr="00D45E8C">
        <w:rPr>
          <w:rFonts w:asciiTheme="minorHAnsi" w:hAnsiTheme="minorHAnsi" w:cstheme="minorHAnsi"/>
          <w:lang w:val="pl-PL" w:eastAsia="pl-PL"/>
        </w:rPr>
        <w:t xml:space="preserve"> euro. – zakończony</w:t>
      </w:r>
    </w:p>
    <w:p w14:paraId="2C921177" w14:textId="77777777" w:rsidR="004163EF" w:rsidRDefault="004163EF" w:rsidP="00016C88">
      <w:pPr>
        <w:spacing w:after="0"/>
        <w:rPr>
          <w:b/>
          <w:bCs/>
          <w:color w:val="000000"/>
        </w:rPr>
      </w:pPr>
    </w:p>
    <w:p w14:paraId="7AB4C909" w14:textId="77777777" w:rsidR="004163EF" w:rsidRDefault="004163EF" w:rsidP="004163EF">
      <w:pPr>
        <w:jc w:val="both"/>
        <w:rPr>
          <w:b/>
          <w:bCs/>
          <w:color w:val="000000"/>
        </w:rPr>
      </w:pPr>
      <w:r>
        <w:rPr>
          <w:b/>
          <w:bCs/>
          <w:color w:val="000000"/>
          <w:shd w:val="clear" w:color="auto" w:fill="A8D08D" w:themeFill="accent6" w:themeFillTint="99"/>
        </w:rPr>
        <w:t>R</w:t>
      </w:r>
      <w:r w:rsidRPr="00F84890">
        <w:rPr>
          <w:b/>
          <w:bCs/>
          <w:color w:val="000000"/>
          <w:shd w:val="clear" w:color="auto" w:fill="A8D08D" w:themeFill="accent6" w:themeFillTint="99"/>
        </w:rPr>
        <w:t xml:space="preserve">ealizacji budżetu LSR w ramach </w:t>
      </w:r>
      <w:r>
        <w:rPr>
          <w:b/>
          <w:bCs/>
          <w:color w:val="000000"/>
          <w:shd w:val="clear" w:color="auto" w:fill="A8D08D" w:themeFill="accent6" w:themeFillTint="99"/>
        </w:rPr>
        <w:t>w</w:t>
      </w:r>
      <w:r w:rsidRPr="00F84890">
        <w:rPr>
          <w:b/>
          <w:bCs/>
          <w:color w:val="000000"/>
          <w:shd w:val="clear" w:color="auto" w:fill="A8D08D" w:themeFill="accent6" w:themeFillTint="99"/>
        </w:rPr>
        <w:t>drażania LSR w podziale na gminy obszaru LSR – stan na 31.12.2021r.</w:t>
      </w:r>
      <w:r>
        <w:rPr>
          <w:b/>
          <w:bCs/>
          <w:color w:val="000000"/>
        </w:rPr>
        <w:t xml:space="preserve"> </w:t>
      </w:r>
    </w:p>
    <w:p w14:paraId="04915110" w14:textId="77777777" w:rsidR="004163EF" w:rsidRDefault="004163EF" w:rsidP="004163EF">
      <w:pPr>
        <w:jc w:val="both"/>
        <w:rPr>
          <w:color w:val="000000"/>
        </w:rPr>
      </w:pPr>
      <w:r w:rsidRPr="00070E91">
        <w:rPr>
          <w:color w:val="000000"/>
        </w:rPr>
        <w:t xml:space="preserve">Wykorzystanie budżetu LSR </w:t>
      </w:r>
      <w:r>
        <w:rPr>
          <w:color w:val="000000"/>
        </w:rPr>
        <w:t xml:space="preserve">(poddziałanie 19.2) </w:t>
      </w:r>
      <w:r w:rsidRPr="00070E91">
        <w:rPr>
          <w:color w:val="000000"/>
        </w:rPr>
        <w:t>w podziale na beneficjentów poszczególnych gmin z</w:t>
      </w:r>
      <w:r>
        <w:rPr>
          <w:color w:val="000000"/>
        </w:rPr>
        <w:t> </w:t>
      </w:r>
      <w:r w:rsidRPr="00070E91">
        <w:rPr>
          <w:color w:val="000000"/>
        </w:rPr>
        <w:t>terenu PLGD jest zróżnicowane i w dużym stopniu koreluje z liczbą mieszkańców gminy</w:t>
      </w:r>
    </w:p>
    <w:p w14:paraId="55DF90C7" w14:textId="77777777" w:rsidR="004163EF" w:rsidRPr="008554A5" w:rsidRDefault="004163EF" w:rsidP="004163EF">
      <w:pPr>
        <w:rPr>
          <w:b/>
          <w:bCs/>
          <w:color w:val="000000"/>
        </w:rPr>
      </w:pPr>
      <w:r w:rsidRPr="008554A5">
        <w:rPr>
          <w:b/>
          <w:bCs/>
          <w:color w:val="000000"/>
        </w:rPr>
        <w:t>Tabela.3. Wykorzystanie budżetu LSR przez beneficjentów poszczególnych gmin</w:t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2268"/>
        <w:gridCol w:w="2126"/>
      </w:tblGrid>
      <w:tr w:rsidR="00287B8F" w:rsidRPr="00C01BC9" w14:paraId="39C57C80" w14:textId="77777777" w:rsidTr="00287B8F">
        <w:trPr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14:paraId="70503DE0" w14:textId="77777777" w:rsidR="00287B8F" w:rsidRPr="00B3356E" w:rsidRDefault="00287B8F" w:rsidP="00DE2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62B602" w14:textId="77777777" w:rsidR="00287B8F" w:rsidRPr="00B3356E" w:rsidRDefault="00287B8F" w:rsidP="00DE2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b/>
                <w:bCs/>
                <w:sz w:val="20"/>
                <w:szCs w:val="20"/>
              </w:rPr>
              <w:t>Liczba mieszkańców 31.12.2020r.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52ED397A" w14:textId="77777777" w:rsidR="00287B8F" w:rsidRPr="00B3356E" w:rsidRDefault="00287B8F" w:rsidP="00DE2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wykorzystana w ramach LSR ogółem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71C2D37C" w14:textId="77777777" w:rsidR="00287B8F" w:rsidRPr="00B3356E" w:rsidRDefault="00287B8F" w:rsidP="00DE2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tym kwota wykorzystana na działania niekomercyjne/ społeczne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5A3837E7" w14:textId="77777777" w:rsidR="00287B8F" w:rsidRPr="00B3356E" w:rsidRDefault="00287B8F" w:rsidP="00DE22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Procent środków wykorzystanych na działania niekomercyjne/ społeczne</w:t>
            </w:r>
          </w:p>
        </w:tc>
      </w:tr>
      <w:tr w:rsidR="004F5A53" w:rsidRPr="00C01BC9" w14:paraId="74AC7145" w14:textId="77777777" w:rsidTr="004F5A53">
        <w:trPr>
          <w:trHeight w:val="1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845FD55" w14:textId="77777777" w:rsidR="004F5A53" w:rsidRPr="00B3356E" w:rsidRDefault="004F5A53" w:rsidP="004F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 Dunajec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014A6FB" w14:textId="7777777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sz w:val="20"/>
                <w:szCs w:val="20"/>
              </w:rPr>
              <w:t>7160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356C3C0" w14:textId="41B20663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1 348 907,18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2A06B0E" w14:textId="6781C1CA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638 907,18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F37A471" w14:textId="4CD4EEC4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4F5A53" w:rsidRPr="00C01BC9" w14:paraId="2DE4982C" w14:textId="77777777" w:rsidTr="00E76655">
        <w:trPr>
          <w:trHeight w:val="1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825C54" w14:textId="77777777" w:rsidR="004F5A53" w:rsidRPr="00B3356E" w:rsidRDefault="004F5A53" w:rsidP="004F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Czarny Dunajec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CA86" w14:textId="7777777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sz w:val="20"/>
                <w:szCs w:val="20"/>
              </w:rPr>
              <w:t>22592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F83" w14:textId="0BBCACC8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2 184 193,38 zł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4D59" w14:textId="73437F82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594 077,00 zł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11E" w14:textId="5A0764E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</w:tr>
      <w:tr w:rsidR="004F5A53" w:rsidRPr="00C01BC9" w14:paraId="30EF4DB3" w14:textId="77777777" w:rsidTr="004F5A53">
        <w:trPr>
          <w:trHeight w:val="1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5AE9585" w14:textId="77777777" w:rsidR="004F5A53" w:rsidRPr="00B3356E" w:rsidRDefault="004F5A53" w:rsidP="004F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Kościelisko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5AAD860" w14:textId="7777777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sz w:val="20"/>
                <w:szCs w:val="20"/>
              </w:rPr>
              <w:t>8867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63B922D" w14:textId="2530D26A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1 992 255,71 zł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6637DC6" w14:textId="5E32B09A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886 672,71 zł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1DCDBF7" w14:textId="4B45BA06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</w:tr>
      <w:tr w:rsidR="004F5A53" w:rsidRPr="00C01BC9" w14:paraId="25E002DE" w14:textId="77777777" w:rsidTr="009E5C67">
        <w:trPr>
          <w:trHeight w:val="1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84A3FE" w14:textId="77777777" w:rsidR="004F5A53" w:rsidRPr="00B3356E" w:rsidRDefault="004F5A53" w:rsidP="004F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Poronin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42A8D" w14:textId="7777777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sz w:val="20"/>
                <w:szCs w:val="20"/>
              </w:rPr>
              <w:t>11715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56E9" w14:textId="20DAA3A8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1 732 346,60 zł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13DE" w14:textId="018C1261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664 194,60 zł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02B7" w14:textId="52A066DE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4F5A53" w:rsidRPr="00C01BC9" w14:paraId="16DE0970" w14:textId="77777777" w:rsidTr="004F5A53">
        <w:trPr>
          <w:trHeight w:val="1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1DDAD711" w14:textId="77777777" w:rsidR="004F5A53" w:rsidRPr="00B3356E" w:rsidRDefault="004F5A53" w:rsidP="004F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Szaflary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F796789" w14:textId="7777777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sz w:val="20"/>
                <w:szCs w:val="20"/>
              </w:rPr>
              <w:t>11115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F85F419" w14:textId="6F5C4BC2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2 004 847,00 zł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F22A56" w14:textId="0F21D62C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630 020,00 zł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54F1B7B" w14:textId="3B1C2BDB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</w:tr>
      <w:tr w:rsidR="004F5A53" w:rsidRPr="003E2E38" w14:paraId="7801174A" w14:textId="77777777" w:rsidTr="00287B8F">
        <w:trPr>
          <w:trHeight w:val="1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5F1CD9AA" w14:textId="77777777" w:rsidR="004F5A53" w:rsidRPr="00B3356E" w:rsidRDefault="004F5A53" w:rsidP="004F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PLGD - własna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0D72FA3" w14:textId="7777777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0A4B7B1A" w14:textId="7777777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2E38">
              <w:rPr>
                <w:rFonts w:ascii="Calibri" w:eastAsia="Times New Roman" w:hAnsi="Calibri" w:cs="Calibri"/>
                <w:color w:val="000000"/>
                <w:lang w:eastAsia="pl-PL"/>
              </w:rPr>
              <w:t>50 000,00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0CBE43BB" w14:textId="7777777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2E38">
              <w:rPr>
                <w:rFonts w:ascii="Calibri" w:eastAsia="Times New Roman" w:hAnsi="Calibri" w:cs="Calibri"/>
                <w:color w:val="000000"/>
                <w:lang w:eastAsia="pl-PL"/>
              </w:rPr>
              <w:t>50 000,00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7A3901A5" w14:textId="7777777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F5A53" w:rsidRPr="003E2E38" w14:paraId="0E25F599" w14:textId="77777777" w:rsidTr="00287B8F">
        <w:trPr>
          <w:trHeight w:val="1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5CE777EE" w14:textId="77777777" w:rsidR="004F5A53" w:rsidRPr="00B3356E" w:rsidRDefault="004F5A53" w:rsidP="004F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mieszkańcy GMIN PLGD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bottom"/>
          </w:tcPr>
          <w:p w14:paraId="36F0BDA7" w14:textId="77777777" w:rsidR="004F5A53" w:rsidRPr="00B3356E" w:rsidRDefault="004F5A53" w:rsidP="004F5A5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61449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bottom"/>
            <w:hideMark/>
          </w:tcPr>
          <w:p w14:paraId="4CA8817D" w14:textId="08749B84" w:rsidR="004F5A53" w:rsidRPr="004F5A53" w:rsidRDefault="004F5A53" w:rsidP="004F5A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9 262 549,87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bottom"/>
            <w:hideMark/>
          </w:tcPr>
          <w:p w14:paraId="777C7FBC" w14:textId="666D3CC5" w:rsidR="004F5A53" w:rsidRPr="004F5A53" w:rsidRDefault="004F5A53" w:rsidP="004F5A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3 413 871,49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7E3D3BA4" w14:textId="77777777" w:rsidR="004F5A53" w:rsidRPr="00B3356E" w:rsidRDefault="004F5A53" w:rsidP="004F5A5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sz w:val="20"/>
                <w:szCs w:val="20"/>
              </w:rPr>
              <w:t>100%</w:t>
            </w:r>
          </w:p>
        </w:tc>
      </w:tr>
      <w:tr w:rsidR="004F5A53" w:rsidRPr="00C01BC9" w14:paraId="4CDA3FFF" w14:textId="77777777" w:rsidTr="00287B8F">
        <w:trPr>
          <w:trHeight w:val="53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bottom"/>
            <w:hideMark/>
          </w:tcPr>
          <w:p w14:paraId="614B9B2A" w14:textId="77777777" w:rsidR="004F5A53" w:rsidRPr="00B3356E" w:rsidRDefault="004F5A53" w:rsidP="004F5A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BUDŻET LSR działanie 19.2. - po aktualizacji z dn. 8.11.2020r.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  <w:hideMark/>
          </w:tcPr>
          <w:p w14:paraId="2C8C7705" w14:textId="77777777" w:rsidR="004F5A53" w:rsidRPr="00B3356E" w:rsidRDefault="004F5A53" w:rsidP="004F5A5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5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9462000,00 zł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BECFB6" w14:textId="77777777" w:rsidR="004F5A53" w:rsidRPr="00B3356E" w:rsidRDefault="004F5A53" w:rsidP="004F5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A334B3D" w14:textId="77777777" w:rsidR="004F5A53" w:rsidRPr="00B3356E" w:rsidRDefault="004F5A53" w:rsidP="004F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BE8C87" w14:textId="77777777" w:rsidR="004163EF" w:rsidRDefault="004163EF" w:rsidP="004163EF">
      <w:pPr>
        <w:rPr>
          <w:b/>
          <w:bCs/>
          <w:color w:val="000000"/>
        </w:rPr>
      </w:pPr>
    </w:p>
    <w:p w14:paraId="444A68FB" w14:textId="201A2B83" w:rsidR="004163EF" w:rsidRDefault="004163EF" w:rsidP="004163EF">
      <w:pPr>
        <w:jc w:val="both"/>
        <w:rPr>
          <w:color w:val="000000"/>
        </w:rPr>
      </w:pPr>
    </w:p>
    <w:p w14:paraId="44E276FF" w14:textId="77777777" w:rsidR="004163EF" w:rsidRDefault="004163EF" w:rsidP="004163EF">
      <w:pPr>
        <w:shd w:val="clear" w:color="auto" w:fill="A8D08D" w:themeFill="accent6" w:themeFillTint="99"/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OCENA ILOŚCIOWA I JAKOŚCIOWA PRZEPROWADZONYCH KONKURSÓW</w:t>
      </w:r>
    </w:p>
    <w:p w14:paraId="3EFBECE7" w14:textId="77777777" w:rsidR="004163EF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F06BA7">
        <w:rPr>
          <w:color w:val="000000" w:themeColor="text1"/>
        </w:rPr>
        <w:t>Na podstawie prowadzonego w biurze LGD Rejestru konkursów LGD Zespół stwierdza:</w:t>
      </w:r>
    </w:p>
    <w:p w14:paraId="61BC32B5" w14:textId="77777777" w:rsidR="004163EF" w:rsidRPr="004163EF" w:rsidRDefault="004163EF" w:rsidP="004163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4163EF">
        <w:rPr>
          <w:rFonts w:asciiTheme="minorHAnsi" w:hAnsiTheme="minorHAnsi" w:cstheme="minorHAnsi"/>
          <w:color w:val="000000" w:themeColor="text1"/>
          <w:lang w:val="pl-PL"/>
        </w:rPr>
        <w:t>Konkursy w analizowanym okresie były prowadzone zgodnie z Harmonogramem planowanych naborów stanowiącym załącznik do umowy ramowej;</w:t>
      </w:r>
    </w:p>
    <w:p w14:paraId="0BF22CF6" w14:textId="77777777" w:rsidR="004163EF" w:rsidRPr="004163EF" w:rsidRDefault="004163EF" w:rsidP="004163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4163EF">
        <w:rPr>
          <w:rFonts w:asciiTheme="minorHAnsi" w:hAnsiTheme="minorHAnsi" w:cstheme="minorHAnsi"/>
          <w:color w:val="000000" w:themeColor="text1"/>
          <w:lang w:val="pl-PL"/>
        </w:rPr>
        <w:t>Harmonogram naborów był aktualizowany w miarę potrzeb tak aby zapewnić prawidłową realizacje LSR w czasie;</w:t>
      </w:r>
    </w:p>
    <w:p w14:paraId="64B39FB9" w14:textId="77777777" w:rsidR="004163EF" w:rsidRPr="004163EF" w:rsidRDefault="004163EF" w:rsidP="004163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4163EF">
        <w:rPr>
          <w:rFonts w:asciiTheme="minorHAnsi" w:hAnsiTheme="minorHAnsi" w:cstheme="minorHAnsi"/>
          <w:color w:val="000000" w:themeColor="text1"/>
          <w:lang w:val="pl-PL"/>
        </w:rPr>
        <w:t>Lokalna Grupa Działania terminowo przeprowadziła nabory i ocenę wniosków złożonych w naborach oraz w terminie do 60 dni od zakończenia naboru złożyła dokumentację z naborów w UMWM;</w:t>
      </w:r>
    </w:p>
    <w:p w14:paraId="5A036B8D" w14:textId="77777777" w:rsidR="004163EF" w:rsidRPr="004163EF" w:rsidRDefault="004163EF" w:rsidP="004163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4163EF">
        <w:rPr>
          <w:rFonts w:asciiTheme="minorHAnsi" w:hAnsiTheme="minorHAnsi" w:cstheme="minorHAnsi"/>
          <w:color w:val="000000" w:themeColor="text1"/>
          <w:lang w:val="pl-PL"/>
        </w:rPr>
        <w:t>Liczba wniosków złożonych w naborach i wybranych do finansowania przekracza wyczerpuje niemal w 100% pule środków w naborach lub liczbę wniosków wybranych i mieszczących się w limitach środków w naborach co świadczy o wysokim poziomie wniosków i korzystaniu z  doradztwa w zakresie zgodności z lokalnymi kryteriami wyboru.</w:t>
      </w:r>
    </w:p>
    <w:p w14:paraId="5041D6EA" w14:textId="77777777" w:rsidR="004163EF" w:rsidRDefault="004163EF" w:rsidP="004163EF">
      <w:pPr>
        <w:jc w:val="both"/>
        <w:rPr>
          <w:color w:val="000000" w:themeColor="text1"/>
        </w:rPr>
      </w:pPr>
    </w:p>
    <w:p w14:paraId="08DEAEEB" w14:textId="1BDB61BA" w:rsidR="004163EF" w:rsidRPr="00F06BA7" w:rsidRDefault="004163EF" w:rsidP="004163EF">
      <w:pPr>
        <w:jc w:val="both"/>
        <w:rPr>
          <w:color w:val="000000" w:themeColor="text1"/>
        </w:rPr>
      </w:pPr>
      <w:r w:rsidRPr="00F06BA7">
        <w:rPr>
          <w:color w:val="000000" w:themeColor="text1"/>
        </w:rPr>
        <w:t xml:space="preserve">Od początku wdrażania LSR Zarząd LGD przeprowadził </w:t>
      </w:r>
      <w:r>
        <w:rPr>
          <w:b/>
          <w:bCs/>
          <w:color w:val="000000" w:themeColor="text1"/>
        </w:rPr>
        <w:t>4</w:t>
      </w:r>
      <w:r w:rsidR="004F5A53">
        <w:rPr>
          <w:b/>
          <w:bCs/>
          <w:color w:val="000000" w:themeColor="text1"/>
        </w:rPr>
        <w:t>5</w:t>
      </w:r>
      <w:r>
        <w:rPr>
          <w:b/>
          <w:bCs/>
          <w:color w:val="000000" w:themeColor="text1"/>
        </w:rPr>
        <w:t xml:space="preserve"> </w:t>
      </w:r>
      <w:r w:rsidRPr="00F06BA7">
        <w:rPr>
          <w:b/>
          <w:bCs/>
          <w:color w:val="000000" w:themeColor="text1"/>
        </w:rPr>
        <w:t>naborów wniosków</w:t>
      </w:r>
      <w:r w:rsidRPr="00F06BA7">
        <w:rPr>
          <w:color w:val="000000" w:themeColor="text1"/>
        </w:rPr>
        <w:t xml:space="preserve">, w tym </w:t>
      </w:r>
      <w:r>
        <w:rPr>
          <w:color w:val="000000" w:themeColor="text1"/>
        </w:rPr>
        <w:t>6</w:t>
      </w:r>
      <w:r w:rsidRPr="00F06BA7">
        <w:rPr>
          <w:color w:val="000000" w:themeColor="text1"/>
        </w:rPr>
        <w:t>szt konkursy grantowe w 2017 r. i 2szt konkurs w ramach inkubatorów przetwórstwa lokalnego</w:t>
      </w:r>
      <w:r>
        <w:rPr>
          <w:color w:val="000000" w:themeColor="text1"/>
        </w:rPr>
        <w:t>.</w:t>
      </w:r>
      <w:r w:rsidRPr="00F06BA7">
        <w:rPr>
          <w:color w:val="000000" w:themeColor="text1"/>
        </w:rPr>
        <w:t xml:space="preserve"> </w:t>
      </w:r>
    </w:p>
    <w:p w14:paraId="61E93407" w14:textId="77777777" w:rsidR="004163EF" w:rsidRDefault="004163EF" w:rsidP="004163EF">
      <w:pPr>
        <w:spacing w:after="0"/>
        <w:jc w:val="both"/>
        <w:rPr>
          <w:color w:val="000000" w:themeColor="text1"/>
        </w:rPr>
      </w:pPr>
      <w:r w:rsidRPr="00F06BA7">
        <w:rPr>
          <w:color w:val="000000" w:themeColor="text1"/>
        </w:rPr>
        <w:t>W  ww. konkursach przeprowadzonych i nieanulowanych, ocenie Rady podlegało przeszło 200 wniosków</w:t>
      </w:r>
      <w:r>
        <w:rPr>
          <w:color w:val="000000" w:themeColor="text1"/>
        </w:rPr>
        <w:t xml:space="preserve">. Tabela nr 4 przedstawia podsumowanie wniosków złożonych i ocenionych </w:t>
      </w:r>
    </w:p>
    <w:p w14:paraId="4A7DD565" w14:textId="77777777" w:rsidR="004163EF" w:rsidRPr="00F06BA7" w:rsidRDefault="004163EF" w:rsidP="004163EF">
      <w:pPr>
        <w:spacing w:after="0"/>
        <w:jc w:val="both"/>
        <w:rPr>
          <w:color w:val="000000" w:themeColor="text1"/>
        </w:rPr>
      </w:pPr>
    </w:p>
    <w:p w14:paraId="58707043" w14:textId="77777777" w:rsidR="004163EF" w:rsidRPr="00F06BA7" w:rsidRDefault="004163EF" w:rsidP="004163EF">
      <w:pPr>
        <w:rPr>
          <w:b/>
          <w:bCs/>
          <w:color w:val="000000" w:themeColor="text1"/>
        </w:rPr>
      </w:pPr>
      <w:r w:rsidRPr="00F06BA7">
        <w:rPr>
          <w:b/>
          <w:bCs/>
          <w:color w:val="000000" w:themeColor="text1"/>
        </w:rPr>
        <w:t>Tabela.4. Podsumowanie wniosków złożonych i ocenionych</w:t>
      </w:r>
      <w:r>
        <w:rPr>
          <w:b/>
          <w:bCs/>
          <w:color w:val="000000" w:themeColor="text1"/>
        </w:rPr>
        <w:t>*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531"/>
        <w:gridCol w:w="1531"/>
        <w:gridCol w:w="1587"/>
        <w:gridCol w:w="1587"/>
        <w:gridCol w:w="1531"/>
      </w:tblGrid>
      <w:tr w:rsidR="004163EF" w:rsidRPr="00F06BA7" w14:paraId="27F487B5" w14:textId="77777777" w:rsidTr="00EC48B7">
        <w:trPr>
          <w:trHeight w:val="1330"/>
        </w:trPr>
        <w:tc>
          <w:tcPr>
            <w:tcW w:w="1587" w:type="dxa"/>
            <w:shd w:val="clear" w:color="auto" w:fill="FFE599" w:themeFill="accent4" w:themeFillTint="66"/>
            <w:vAlign w:val="center"/>
            <w:hideMark/>
          </w:tcPr>
          <w:p w14:paraId="6C8F9BBF" w14:textId="77777777" w:rsidR="004163EF" w:rsidRPr="00D1361F" w:rsidRDefault="004163EF" w:rsidP="00EC48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Liczba złożonych wniosków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(nie </w:t>
            </w: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wycofan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ych</w:t>
            </w: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i  poddan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ych</w:t>
            </w: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ocenie Rady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1" w:type="dxa"/>
            <w:shd w:val="clear" w:color="auto" w:fill="FFE599" w:themeFill="accent4" w:themeFillTint="66"/>
            <w:vAlign w:val="center"/>
            <w:hideMark/>
          </w:tcPr>
          <w:p w14:paraId="5C56CD52" w14:textId="77777777" w:rsidR="004163EF" w:rsidRPr="00D1361F" w:rsidRDefault="004163EF" w:rsidP="00EC48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wniosków wybranych</w:t>
            </w:r>
          </w:p>
        </w:tc>
        <w:tc>
          <w:tcPr>
            <w:tcW w:w="1531" w:type="dxa"/>
            <w:shd w:val="clear" w:color="auto" w:fill="FFE599" w:themeFill="accent4" w:themeFillTint="66"/>
            <w:vAlign w:val="center"/>
            <w:hideMark/>
          </w:tcPr>
          <w:p w14:paraId="090FA207" w14:textId="77777777" w:rsidR="004163EF" w:rsidRPr="00D1361F" w:rsidRDefault="004163EF" w:rsidP="00EC48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wniosków wybranych co do których  wnioskodawcy korzystali z doradztwa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  <w:hideMark/>
          </w:tcPr>
          <w:p w14:paraId="37C794D9" w14:textId="77777777" w:rsidR="004163EF" w:rsidRPr="00D1361F" w:rsidRDefault="004163EF" w:rsidP="00EC48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wniosków niewybranych (uchwała o niewybraniu)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  <w:hideMark/>
          </w:tcPr>
          <w:p w14:paraId="7EA62C69" w14:textId="77777777" w:rsidR="004163EF" w:rsidRPr="00D1361F" w:rsidRDefault="004163EF" w:rsidP="00EC48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Liczba wniosków niewybranych co do których wnioskodawc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y</w:t>
            </w: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skorzysta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li </w:t>
            </w: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z doradztwa</w:t>
            </w:r>
          </w:p>
        </w:tc>
        <w:tc>
          <w:tcPr>
            <w:tcW w:w="1531" w:type="dxa"/>
            <w:shd w:val="clear" w:color="auto" w:fill="FFE599" w:themeFill="accent4" w:themeFillTint="66"/>
            <w:vAlign w:val="center"/>
            <w:hideMark/>
          </w:tcPr>
          <w:p w14:paraId="4802A158" w14:textId="77777777" w:rsidR="004163EF" w:rsidRPr="00D1361F" w:rsidRDefault="004163EF" w:rsidP="00EC48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Liczba wniosków wybranych mieszczących się w limicie środków, wraz z </w:t>
            </w:r>
            <w:proofErr w:type="spellStart"/>
            <w:r w:rsidRPr="00D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odwołaniami</w:t>
            </w:r>
            <w:proofErr w:type="spellEnd"/>
          </w:p>
        </w:tc>
      </w:tr>
      <w:tr w:rsidR="004163EF" w:rsidRPr="00F06BA7" w14:paraId="30760FFC" w14:textId="77777777" w:rsidTr="00EC48B7">
        <w:trPr>
          <w:trHeight w:val="737"/>
        </w:trPr>
        <w:tc>
          <w:tcPr>
            <w:tcW w:w="1587" w:type="dxa"/>
            <w:shd w:val="clear" w:color="auto" w:fill="FFF2CC" w:themeFill="accent4" w:themeFillTint="33"/>
            <w:vAlign w:val="center"/>
          </w:tcPr>
          <w:p w14:paraId="6B070351" w14:textId="2133BDB8" w:rsidR="004163EF" w:rsidRPr="00D1361F" w:rsidRDefault="004163EF" w:rsidP="00EC4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eastAsia="pl-PL"/>
              </w:rPr>
            </w:pPr>
            <w:r w:rsidRPr="00D1361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</w:t>
            </w:r>
            <w:r w:rsidR="004F5A5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59</w:t>
            </w:r>
            <w:r w:rsidRPr="00D1361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,00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7172F18" w14:textId="060592FD" w:rsidR="004163EF" w:rsidRPr="00D1361F" w:rsidRDefault="004F5A53" w:rsidP="00EC4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215</w:t>
            </w:r>
            <w:r w:rsidR="004163EF" w:rsidRPr="00D1361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,00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1F765827" w14:textId="65195BDE" w:rsidR="004163EF" w:rsidRPr="00D1361F" w:rsidRDefault="004F5A53" w:rsidP="00EC4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196</w:t>
            </w:r>
            <w:r w:rsidR="004163EF" w:rsidRPr="00D1361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1A209EFF" w14:textId="15E74FFC" w:rsidR="004163EF" w:rsidRPr="00D1361F" w:rsidRDefault="004F5A53" w:rsidP="00EC4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44</w:t>
            </w:r>
            <w:r w:rsidR="004163EF" w:rsidRPr="00D1361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,00</w:t>
            </w:r>
          </w:p>
        </w:tc>
        <w:tc>
          <w:tcPr>
            <w:tcW w:w="1587" w:type="dxa"/>
            <w:shd w:val="clear" w:color="auto" w:fill="FFF2CC" w:themeFill="accent4" w:themeFillTint="33"/>
            <w:vAlign w:val="center"/>
          </w:tcPr>
          <w:p w14:paraId="70805368" w14:textId="77777777" w:rsidR="004163EF" w:rsidRPr="00D1361F" w:rsidRDefault="004163EF" w:rsidP="00EC4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eastAsia="pl-PL"/>
              </w:rPr>
            </w:pPr>
            <w:r w:rsidRPr="00D1361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6,00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60CB485" w14:textId="40E39134" w:rsidR="004163EF" w:rsidRPr="00D1361F" w:rsidRDefault="004163EF" w:rsidP="00EC48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eastAsia="pl-PL"/>
              </w:rPr>
            </w:pPr>
            <w:r w:rsidRPr="00D1361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</w:t>
            </w:r>
            <w:r w:rsidR="004F5A5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54</w:t>
            </w:r>
            <w:r w:rsidRPr="00D1361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,00</w:t>
            </w:r>
          </w:p>
        </w:tc>
      </w:tr>
    </w:tbl>
    <w:p w14:paraId="3C4FFCD5" w14:textId="77777777" w:rsidR="004163EF" w:rsidRDefault="004163EF" w:rsidP="004163EF">
      <w:pPr>
        <w:jc w:val="both"/>
        <w:rPr>
          <w:rFonts w:cstheme="minorHAnsi"/>
          <w:b/>
          <w:bCs/>
          <w:color w:val="000000" w:themeColor="text1"/>
          <w:sz w:val="18"/>
          <w:szCs w:val="18"/>
          <w:lang w:eastAsia="pl-PL"/>
        </w:rPr>
      </w:pPr>
      <w:r w:rsidRPr="00D1361F">
        <w:rPr>
          <w:rFonts w:cstheme="minorHAnsi"/>
          <w:b/>
          <w:bCs/>
          <w:color w:val="000000" w:themeColor="text1"/>
          <w:sz w:val="18"/>
          <w:szCs w:val="18"/>
          <w:lang w:eastAsia="pl-PL"/>
        </w:rPr>
        <w:t>*wraz z grantami 26szt  - ocenianymi w 2017 i operacją własną, bez 3</w:t>
      </w:r>
      <w:r>
        <w:rPr>
          <w:rFonts w:cstheme="minorHAnsi"/>
          <w:b/>
          <w:bCs/>
          <w:color w:val="000000" w:themeColor="text1"/>
          <w:sz w:val="18"/>
          <w:szCs w:val="18"/>
          <w:lang w:eastAsia="pl-PL"/>
        </w:rPr>
        <w:t>s</w:t>
      </w:r>
      <w:r w:rsidRPr="00D1361F">
        <w:rPr>
          <w:rFonts w:cstheme="minorHAnsi"/>
          <w:b/>
          <w:bCs/>
          <w:color w:val="000000" w:themeColor="text1"/>
          <w:sz w:val="18"/>
          <w:szCs w:val="18"/>
          <w:lang w:eastAsia="pl-PL"/>
        </w:rPr>
        <w:t>zt – zadań grantowych złożonych w naborach anulowanych z uwagi na brak możliwości realizacji wskaźników projektu grantowego.</w:t>
      </w:r>
    </w:p>
    <w:p w14:paraId="63A33964" w14:textId="77777777" w:rsidR="004163EF" w:rsidRPr="00D1361F" w:rsidRDefault="004163EF" w:rsidP="004163EF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07DD8C25" w14:textId="77777777" w:rsidR="004163EF" w:rsidRPr="00F06BA7" w:rsidRDefault="004163EF" w:rsidP="004163EF">
      <w:pPr>
        <w:jc w:val="both"/>
        <w:rPr>
          <w:color w:val="000000" w:themeColor="text1"/>
        </w:rPr>
      </w:pPr>
      <w:r w:rsidRPr="00F06BA7">
        <w:rPr>
          <w:color w:val="000000" w:themeColor="text1"/>
        </w:rPr>
        <w:t xml:space="preserve">Na wysoki stopień efektywności ogłaszanych naborów wpływa bieżące aktywne informowanie o konkursach, na bieżąco udzielane doradztwo dla beneficjentów. </w:t>
      </w:r>
    </w:p>
    <w:p w14:paraId="5956209C" w14:textId="47E16F0B" w:rsidR="004163EF" w:rsidRPr="00F06BA7" w:rsidRDefault="004163EF" w:rsidP="004163EF">
      <w:pPr>
        <w:shd w:val="clear" w:color="auto" w:fill="C5E0B3" w:themeFill="accent6" w:themeFillTint="66"/>
        <w:jc w:val="both"/>
        <w:rPr>
          <w:b/>
          <w:bCs/>
          <w:color w:val="000000" w:themeColor="text1"/>
        </w:rPr>
      </w:pPr>
      <w:r w:rsidRPr="00F06BA7">
        <w:rPr>
          <w:b/>
          <w:bCs/>
          <w:color w:val="000000" w:themeColor="text1"/>
        </w:rPr>
        <w:lastRenderedPageBreak/>
        <w:t>Od początku wdrażania LSR (VII.2016) do końca 20</w:t>
      </w:r>
      <w:r>
        <w:rPr>
          <w:b/>
          <w:bCs/>
          <w:color w:val="000000" w:themeColor="text1"/>
        </w:rPr>
        <w:t>2</w:t>
      </w:r>
      <w:r w:rsidR="004F5A53">
        <w:rPr>
          <w:b/>
          <w:bCs/>
          <w:color w:val="000000" w:themeColor="text1"/>
        </w:rPr>
        <w:t>2</w:t>
      </w:r>
      <w:r w:rsidRPr="00F06BA7">
        <w:rPr>
          <w:b/>
          <w:bCs/>
          <w:color w:val="000000" w:themeColor="text1"/>
        </w:rPr>
        <w:t xml:space="preserve"> r. z doradztwa LGD skorzystało w biurze na miejscu  3</w:t>
      </w:r>
      <w:r w:rsidR="004F5A53">
        <w:rPr>
          <w:b/>
          <w:bCs/>
          <w:color w:val="000000" w:themeColor="text1"/>
        </w:rPr>
        <w:t>74</w:t>
      </w:r>
      <w:r w:rsidRPr="00F06BA7">
        <w:rPr>
          <w:b/>
          <w:bCs/>
          <w:color w:val="000000" w:themeColor="text1"/>
        </w:rPr>
        <w:t xml:space="preserve"> podmiotów (nie wliczając korzystających wielokrotnie w zakresie tego samego wniosku) w tym 1</w:t>
      </w:r>
      <w:r w:rsidR="004F5A53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>6</w:t>
      </w:r>
      <w:r w:rsidRPr="00F06BA7">
        <w:rPr>
          <w:b/>
          <w:bCs/>
          <w:color w:val="000000" w:themeColor="text1"/>
        </w:rPr>
        <w:t xml:space="preserve"> to wnioskodawcy konkursów, którzy konsultowali wnioski w biurze.</w:t>
      </w:r>
    </w:p>
    <w:p w14:paraId="582DF137" w14:textId="46D9666E" w:rsidR="004163EF" w:rsidRDefault="004163EF" w:rsidP="004163EF">
      <w:pPr>
        <w:jc w:val="both"/>
        <w:rPr>
          <w:color w:val="000000" w:themeColor="text1"/>
        </w:rPr>
      </w:pPr>
      <w:r w:rsidRPr="00F06BA7">
        <w:rPr>
          <w:color w:val="000000" w:themeColor="text1"/>
        </w:rPr>
        <w:t>W samym 202</w:t>
      </w:r>
      <w:r w:rsidR="004F5A53">
        <w:rPr>
          <w:color w:val="000000" w:themeColor="text1"/>
        </w:rPr>
        <w:t>2</w:t>
      </w:r>
      <w:r w:rsidRPr="00F06BA7">
        <w:rPr>
          <w:color w:val="000000" w:themeColor="text1"/>
        </w:rPr>
        <w:t xml:space="preserve"> r. z doradztwa bezpośrednio w biurze w biurze skorzystało </w:t>
      </w:r>
      <w:r w:rsidRPr="00D1361F">
        <w:rPr>
          <w:b/>
          <w:bCs/>
          <w:i/>
          <w:iCs/>
          <w:color w:val="000000" w:themeColor="text1"/>
        </w:rPr>
        <w:t>30 podmiotów</w:t>
      </w:r>
      <w:r w:rsidRPr="00F06BA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>
        <w:t>Zastanawiająco duża liczba wniosków wybranych i mieszczących się w limicie w stosunku do liczby podpisanych umów jest wynikiem kilkukrotnego ogłaszania naborów wniosków w ramach tego samego przedsięwzięcia po rezygnacjach lub odrzuceniu wniosków w UMWM.</w:t>
      </w:r>
    </w:p>
    <w:p w14:paraId="758B9E13" w14:textId="77777777" w:rsidR="004163EF" w:rsidRPr="00D1361F" w:rsidRDefault="004163EF" w:rsidP="004163EF">
      <w:pPr>
        <w:jc w:val="both"/>
        <w:rPr>
          <w:color w:val="000000" w:themeColor="text1"/>
        </w:rPr>
      </w:pPr>
      <w:r>
        <w:t xml:space="preserve">Znaczna część wnioskodawców, na etapie oceny w UMWM rezygnowała z podpisania umowy nie składając uzupełnień w wyniku czego wnioski były odrzucane lub wnioskowała o rozwiązanie umowy przyznania pomocy (5 umów rozwiązanych). W początkowym okresie wdrażania LSR 2017-2018r. jedną z przyczyn rezygnacji mógł być czas oceny wniosków w UMWM, który powodował dezaktualizację planów biznesowych wnioskodawców lub znaczną dezaktualizację cen rynkowych (po przetargach) co w efekcie uniemożliwiało realizację w zaplanowanym zakresie. Zgodnie z informacjami przedkładanymi przez wnioskodawców czas oceny wniosków w UMWM w pierwszych naborach wynosił nawet ponad 10 miesięcy (2017r.). Przy tak długim czasie weryfikacji pomimo iż LGD miała na listach rezerwowych inne wnioski, nie było już możliwości ich wykorzystania – lista rezerwowa dezaktualizowała się po 6 – </w:t>
      </w:r>
      <w:proofErr w:type="spellStart"/>
      <w:r>
        <w:t>ciu</w:t>
      </w:r>
      <w:proofErr w:type="spellEnd"/>
      <w:r>
        <w:t xml:space="preserve"> miesiącach. </w:t>
      </w:r>
    </w:p>
    <w:p w14:paraId="083C299B" w14:textId="77777777" w:rsidR="004163EF" w:rsidRDefault="004163EF" w:rsidP="004163EF">
      <w:pPr>
        <w:autoSpaceDE w:val="0"/>
        <w:autoSpaceDN w:val="0"/>
        <w:adjustRightInd w:val="0"/>
        <w:spacing w:after="0" w:line="240" w:lineRule="auto"/>
        <w:jc w:val="both"/>
      </w:pPr>
      <w:r>
        <w:t>W efekcie w poszczególnych latach realizacja ilościowa wniosków złożonych i wybranych przez Radę przedstawia się następująco:</w:t>
      </w:r>
    </w:p>
    <w:p w14:paraId="0714C59A" w14:textId="77777777" w:rsidR="004163EF" w:rsidRDefault="004163EF" w:rsidP="004163EF">
      <w:pPr>
        <w:autoSpaceDE w:val="0"/>
        <w:autoSpaceDN w:val="0"/>
        <w:adjustRightInd w:val="0"/>
        <w:spacing w:after="0" w:line="240" w:lineRule="auto"/>
        <w:jc w:val="both"/>
      </w:pPr>
    </w:p>
    <w:p w14:paraId="42ED5174" w14:textId="77777777" w:rsidR="004163EF" w:rsidRDefault="004163EF" w:rsidP="004163EF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DE79E9">
        <w:rPr>
          <w:b/>
          <w:bCs/>
        </w:rPr>
        <w:t xml:space="preserve">Tabela 5. Wnioski złożone w naborach w poszczególnych latach i zrealizowane </w:t>
      </w:r>
      <w:r>
        <w:rPr>
          <w:b/>
          <w:bCs/>
        </w:rPr>
        <w:t xml:space="preserve">- bez grantów 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675"/>
        <w:gridCol w:w="1585"/>
        <w:gridCol w:w="1560"/>
        <w:gridCol w:w="1740"/>
        <w:gridCol w:w="1802"/>
      </w:tblGrid>
      <w:tr w:rsidR="004163EF" w:rsidRPr="0077359A" w14:paraId="52FFF06A" w14:textId="77777777" w:rsidTr="00EC48B7">
        <w:trPr>
          <w:trHeight w:val="238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55AA4EF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1763DD7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Wielkość wnioskowanej </w:t>
            </w: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y </w:t>
            </w: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wniosków złożonych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02F32DA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wniosków złożonych podlegających ocenie Rady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DBEB58E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wniosków</w:t>
            </w: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wybranych przez Radę LGD wraz z listą rezerwową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847D2B0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wniosków</w:t>
            </w: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zrealizowan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ych</w:t>
            </w: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rozliczon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ych</w:t>
            </w: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/ umowy/ w trakcie oceny w UMWM – w limicie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66A9C6D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wniosków zrealizowanych</w:t>
            </w:r>
          </w:p>
        </w:tc>
      </w:tr>
      <w:tr w:rsidR="004163EF" w:rsidRPr="0077359A" w14:paraId="5EC9E010" w14:textId="77777777" w:rsidTr="00EC48B7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FB70526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B4D5932" w14:textId="77777777" w:rsidR="004163EF" w:rsidRPr="0077359A" w:rsidRDefault="004163EF" w:rsidP="00EC48B7">
            <w:pPr>
              <w:spacing w:after="0" w:line="240" w:lineRule="auto"/>
              <w:ind w:left="-7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6 489 185,00 zł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163BD91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A6C1474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F59897E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8FCA16F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1 244 822,00 zł </w:t>
            </w:r>
          </w:p>
        </w:tc>
      </w:tr>
      <w:tr w:rsidR="00736C91" w:rsidRPr="0077359A" w14:paraId="70C4A386" w14:textId="77777777" w:rsidTr="00EC48B7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59D42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8E9F7A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899 669,00 zł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8F57E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3ED6D6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C4B785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C132BF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693 005,36 zł </w:t>
            </w:r>
          </w:p>
        </w:tc>
      </w:tr>
      <w:tr w:rsidR="004163EF" w:rsidRPr="0077359A" w14:paraId="5AC21A8F" w14:textId="77777777" w:rsidTr="00EC48B7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2C2393A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01A2F20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3 560 000,00 zł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78EBC48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9DA184F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E355CD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25FA822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2 118 385,75 zł </w:t>
            </w:r>
          </w:p>
        </w:tc>
      </w:tr>
      <w:tr w:rsidR="00736C91" w:rsidRPr="0077359A" w14:paraId="3F1A413B" w14:textId="77777777" w:rsidTr="00EC48B7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1C3AD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3CBAFD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4 183 750,12 zł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E280B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B3074F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2C4F53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EBCCBD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2 135 491,38 zł </w:t>
            </w:r>
          </w:p>
        </w:tc>
      </w:tr>
      <w:tr w:rsidR="004163EF" w:rsidRPr="0077359A" w14:paraId="72871A5D" w14:textId="77777777" w:rsidTr="00EC48B7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D4554B7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CFD9FB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2 078 533,00 zł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EA426F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036469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2FB994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EF4DC4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869 817,95 zł </w:t>
            </w:r>
          </w:p>
        </w:tc>
      </w:tr>
      <w:tr w:rsidR="00736C91" w:rsidRPr="0077359A" w14:paraId="5E3B416E" w14:textId="77777777" w:rsidTr="00EC48B7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B4A89" w14:textId="77777777" w:rsidR="004163EF" w:rsidRPr="0077359A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374137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1 569 230,00 zł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D8D7B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B991DD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1D758C" w14:textId="77777777" w:rsidR="004163EF" w:rsidRPr="0077359A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33406C" w14:textId="77777777" w:rsidR="004163EF" w:rsidRPr="0077359A" w:rsidRDefault="004163EF" w:rsidP="00EC4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448 918,35 zł </w:t>
            </w:r>
          </w:p>
        </w:tc>
      </w:tr>
      <w:tr w:rsidR="00304898" w:rsidRPr="00304898" w14:paraId="61BBEFA0" w14:textId="77777777" w:rsidTr="001554DC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5F48F963" w14:textId="77777777" w:rsidR="00304898" w:rsidRPr="00304898" w:rsidRDefault="00304898" w:rsidP="00304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48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D942748" w14:textId="25CBF01E" w:rsidR="00304898" w:rsidRPr="00304898" w:rsidRDefault="00304898" w:rsidP="0030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48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3 689 836,00 zł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07B3A03E" w14:textId="77777777" w:rsidR="00304898" w:rsidRPr="00304898" w:rsidRDefault="00304898" w:rsidP="0030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48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1172F03" w14:textId="77777777" w:rsidR="00304898" w:rsidRPr="00304898" w:rsidRDefault="00304898" w:rsidP="0030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48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1733A51" w14:textId="77777777" w:rsidR="00304898" w:rsidRPr="00304898" w:rsidRDefault="00304898" w:rsidP="0030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48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C91000D" w14:textId="11CF5FE0" w:rsidR="00304898" w:rsidRPr="00304898" w:rsidRDefault="00304898" w:rsidP="0030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48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1 743 672,00 zł </w:t>
            </w:r>
          </w:p>
        </w:tc>
      </w:tr>
      <w:tr w:rsidR="00304898" w:rsidRPr="0077359A" w14:paraId="0C9B22D0" w14:textId="77777777" w:rsidTr="001554DC">
        <w:trPr>
          <w:trHeight w:val="12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249FCC4" w14:textId="77777777" w:rsidR="00304898" w:rsidRPr="0077359A" w:rsidRDefault="00304898" w:rsidP="00304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359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Suma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B72C2F3" w14:textId="1A5D0D6C" w:rsidR="00304898" w:rsidRPr="0077359A" w:rsidRDefault="00304898" w:rsidP="0030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15 677 891,12 zł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CAD8C4A" w14:textId="7FC64CAF" w:rsidR="00304898" w:rsidRPr="0077359A" w:rsidRDefault="00304898" w:rsidP="0030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8EBCC93" w14:textId="35C83AF9" w:rsidR="00304898" w:rsidRPr="0077359A" w:rsidRDefault="00304898" w:rsidP="0030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913E723" w14:textId="3EC0A1DF" w:rsidR="00304898" w:rsidRPr="0077359A" w:rsidRDefault="00304898" w:rsidP="0030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106 (w tym 8 wniosków w trakcie weryfikacji)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B970B59" w14:textId="4DD49265" w:rsidR="00304898" w:rsidRPr="0077359A" w:rsidRDefault="00304898" w:rsidP="0030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9 254 112,79 zł </w:t>
            </w:r>
          </w:p>
        </w:tc>
      </w:tr>
    </w:tbl>
    <w:p w14:paraId="369331FF" w14:textId="77777777" w:rsidR="004163EF" w:rsidRDefault="004163EF" w:rsidP="004163EF"/>
    <w:p w14:paraId="47F1D276" w14:textId="43026131" w:rsidR="004163EF" w:rsidRDefault="004163EF" w:rsidP="004163EF">
      <w:pPr>
        <w:jc w:val="both"/>
      </w:pPr>
      <w:r>
        <w:t xml:space="preserve">Rada od początku wdrażania LSR oceniła </w:t>
      </w:r>
      <w:r w:rsidR="001554DC">
        <w:rPr>
          <w:b/>
          <w:bCs/>
        </w:rPr>
        <w:t>233</w:t>
      </w:r>
      <w:r w:rsidRPr="008000FB">
        <w:rPr>
          <w:b/>
          <w:bCs/>
        </w:rPr>
        <w:t xml:space="preserve"> wnios</w:t>
      </w:r>
      <w:r w:rsidR="001554DC">
        <w:rPr>
          <w:b/>
          <w:bCs/>
        </w:rPr>
        <w:t>ki</w:t>
      </w:r>
      <w:r>
        <w:t xml:space="preserve"> (nie wliczając grantów 25szt), wraz z operacją własną LGD. Do dofinansowania wybrane zostało </w:t>
      </w:r>
      <w:r w:rsidR="001554DC">
        <w:rPr>
          <w:b/>
          <w:bCs/>
        </w:rPr>
        <w:t>192</w:t>
      </w:r>
      <w:r w:rsidRPr="008000FB">
        <w:rPr>
          <w:b/>
          <w:bCs/>
        </w:rPr>
        <w:t xml:space="preserve"> operacji</w:t>
      </w:r>
      <w:r>
        <w:t xml:space="preserve"> (z czego znaczna część na listach rezerwowych nie </w:t>
      </w:r>
      <w:r>
        <w:lastRenderedPageBreak/>
        <w:t xml:space="preserve">mogła zostać objęta umowami z ZW). W trakcie weryfikacji wniosków w UMWM część wniosków odpadła lub zrezygnowała po zamknięciu list rezerwowych i liczba faktycznie zrealizowanych operacji na dzień 31.12.2020 r. wg podpisanych umów wynosi </w:t>
      </w:r>
      <w:r w:rsidR="001554DC">
        <w:rPr>
          <w:b/>
          <w:bCs/>
        </w:rPr>
        <w:t>102</w:t>
      </w:r>
      <w:r w:rsidRPr="008000FB">
        <w:rPr>
          <w:b/>
          <w:bCs/>
        </w:rPr>
        <w:t xml:space="preserve"> operacji</w:t>
      </w:r>
      <w:r>
        <w:t xml:space="preserve">, </w:t>
      </w:r>
      <w:r w:rsidR="001554DC">
        <w:t>8</w:t>
      </w:r>
      <w:r>
        <w:t xml:space="preserve"> wniosków w trakcie weryfikacji – przed podpisaniem umów.</w:t>
      </w:r>
    </w:p>
    <w:p w14:paraId="2323D601" w14:textId="77777777" w:rsidR="004163EF" w:rsidRDefault="004163EF" w:rsidP="004163EF">
      <w:pPr>
        <w:jc w:val="both"/>
      </w:pPr>
      <w:r>
        <w:t xml:space="preserve">Warto zaznaczyć,  że jak wynika z rejestru naborów, Rada LGD niezależnie od liczby wniosków w naborach zawsze terminowo przekazywała do UMWM dokumentację i wnioski wybrane. </w:t>
      </w:r>
    </w:p>
    <w:p w14:paraId="2805D3F9" w14:textId="77777777" w:rsidR="004163EF" w:rsidRDefault="004163EF" w:rsidP="004163EF">
      <w:pPr>
        <w:shd w:val="clear" w:color="auto" w:fill="A8D08D" w:themeFill="accent6" w:themeFillTint="99"/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OCENA AKTUALNOŚCI ANALIZY SWOT</w:t>
      </w:r>
    </w:p>
    <w:p w14:paraId="02A1D259" w14:textId="77777777" w:rsidR="004163EF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Oceny zagadnienia dokonano na podstawie weryfikacji szans i zagrożeń oraz mocnych i słabych stron wskazanych w analizie SWOT w strategii rozwoju lokalnego kierowanego przez społeczność i wynikających z konsultacji społecznych. </w:t>
      </w:r>
    </w:p>
    <w:p w14:paraId="150F6079" w14:textId="305E82AE" w:rsidR="004163EF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Analiza SWOT sporządzona na potrzeby LSR, nadal na dzień 31.12.202</w:t>
      </w:r>
      <w:r w:rsidR="001554DC">
        <w:rPr>
          <w:color w:val="000000"/>
        </w:rPr>
        <w:t>2</w:t>
      </w:r>
      <w:r>
        <w:rPr>
          <w:color w:val="000000"/>
        </w:rPr>
        <w:t xml:space="preserve"> r. wydaje się być aktualna i projekty wybrane do finansowania w 2021 r. jak również działania aktywizacyjne LGD odpowiadają na rozwiązanie słabych stron obszaru PLGD takich jak:</w:t>
      </w:r>
    </w:p>
    <w:p w14:paraId="09F4C805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lang w:val="pl-PL" w:eastAsia="x-none"/>
        </w:rPr>
        <w:t>Niewystarczająca oferta spędzania czasu wolnego dla różnych grup mieszkańców (dzieci, młodzieży, dorosłych, seniorów);</w:t>
      </w:r>
    </w:p>
    <w:p w14:paraId="0EAA2BEE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lang w:val="pl-PL" w:eastAsia="x-none"/>
        </w:rPr>
        <w:t>Niewystarczająca oferta edukacyjno-kulturalna dla mieszkańców o charakterze innym niż regionalny (np. warsztaty teatralne, fotograficzne, dziennikarskie i in.)</w:t>
      </w:r>
    </w:p>
    <w:p w14:paraId="31640135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Niewystarczająco rozwinięta  infrastruktura kulturalno-oświatowa (słaby stan techniczny i</w:t>
      </w:r>
      <w:r>
        <w:rPr>
          <w:rFonts w:asciiTheme="minorHAnsi" w:hAnsiTheme="minorHAnsi" w:cstheme="minorHAnsi"/>
          <w:color w:val="000000"/>
          <w:lang w:val="pl-PL"/>
        </w:rPr>
        <w:t> </w:t>
      </w:r>
      <w:r w:rsidRPr="008000FB">
        <w:rPr>
          <w:rFonts w:asciiTheme="minorHAnsi" w:hAnsiTheme="minorHAnsi" w:cstheme="minorHAnsi"/>
          <w:color w:val="000000"/>
          <w:lang w:val="pl-PL"/>
        </w:rPr>
        <w:t>wyposażenie niektórych świetlic wiejskich, ośrodków kultury, zespołów/organizacji regionalnych i lokalnych);</w:t>
      </w:r>
    </w:p>
    <w:p w14:paraId="648F2D7C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Niewystarczająco rozwinięta infrastruktura sportowo-rekreacyjna i turystyczna – zbyt mała liczba lub/i niski standard obiektów i miejsc sportowo-rekreacyjnych/turystycznych: np. boiska sportowe, place zabaw, siłownie zewnętrzne, szlaki, trasy, w tym trasy narciarstwa biegowego oraz innych obiektów i miejsc rekreacyjnych (np. parki, alejki, punkty widokowe centra wsi, amfiteatry, campingi, pola biwakowe i in.)</w:t>
      </w:r>
    </w:p>
    <w:p w14:paraId="63D0E914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lang w:val="pl-PL" w:eastAsia="x-none"/>
        </w:rPr>
        <w:t>Niewystarczająca infrastruktura rowerowa, brak wytyczonych lub oznakowanych ścieżek rowerowych, wypożyczalni rowerów</w:t>
      </w:r>
    </w:p>
    <w:p w14:paraId="608A87D8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Niewystarczająca promocja turystyczna obszaru PLGD</w:t>
      </w:r>
    </w:p>
    <w:p w14:paraId="3D8A52AB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Słaby poziom infrastruktury technicznej (kanalizacyjnej, wodociągowej, gazowej) oraz niedostateczna dbałość mieszkańców o środowisko naturalne - czego skutkiem jest duże zanieczyszczenie powietrza i wód oraz problem „dzikich wysypisk” śmieci, nieprawidłowa segregacja odpadów;</w:t>
      </w:r>
    </w:p>
    <w:p w14:paraId="7E9244DB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Niska świadomość mieszkańców w zakresie ochrony środowiska, ekologii, ale też zdrowego, aktywnego stylu życia;</w:t>
      </w:r>
    </w:p>
    <w:p w14:paraId="4C68847D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Słabe wykorzystanie odnawialnych źródeł energii</w:t>
      </w:r>
    </w:p>
    <w:p w14:paraId="60AF7DDC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 xml:space="preserve">Niekorzystne warunki przyrodnicze do prowadzenia towarowej produkcji rolniczej; niekorzystna struktura agrarna - rozdrobnione i </w:t>
      </w:r>
      <w:proofErr w:type="spellStart"/>
      <w:r w:rsidRPr="008000FB">
        <w:rPr>
          <w:rFonts w:asciiTheme="minorHAnsi" w:hAnsiTheme="minorHAnsi" w:cstheme="minorHAnsi"/>
          <w:color w:val="000000"/>
          <w:lang w:val="pl-PL"/>
        </w:rPr>
        <w:t>niskodochodowe</w:t>
      </w:r>
      <w:proofErr w:type="spellEnd"/>
      <w:r w:rsidRPr="008000FB">
        <w:rPr>
          <w:rFonts w:asciiTheme="minorHAnsi" w:hAnsiTheme="minorHAnsi" w:cstheme="minorHAnsi"/>
          <w:color w:val="000000"/>
          <w:lang w:val="pl-PL"/>
        </w:rPr>
        <w:t xml:space="preserve"> rolnictwo </w:t>
      </w:r>
    </w:p>
    <w:p w14:paraId="477C4194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Słabe przygotowanie rolników do wykorzystania nowych możliwości rozwoju swoich gospodarstw, w tym niewystarczająca liczba producentów oferujących produkty regionalne, chętnie poszukiwane przez turystów</w:t>
      </w:r>
    </w:p>
    <w:p w14:paraId="04ECB0BF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 xml:space="preserve">Słaba promocja i niska dostępność na rynku wielu lokalnych produktów </w:t>
      </w:r>
    </w:p>
    <w:p w14:paraId="07454B09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Niewystarczający poziom przetwórstwa lokalnych produktów rolnych</w:t>
      </w:r>
    </w:p>
    <w:p w14:paraId="085C3BDD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Postępująca likwidacja gospodarstw rolnych ze względu na małą opłacalność produkcji rolnej</w:t>
      </w:r>
    </w:p>
    <w:p w14:paraId="55714B7A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Słaby potencjał techniczny, organizacyjny i finansowy organizacji pozarządowych ograniczający aktywność tych organizacji;  Słabnąca integracja, aktywizacja i zaangażowanie mieszkańców w</w:t>
      </w:r>
      <w:r>
        <w:rPr>
          <w:rFonts w:asciiTheme="minorHAnsi" w:hAnsiTheme="minorHAnsi" w:cstheme="minorHAnsi"/>
          <w:color w:val="000000"/>
          <w:lang w:val="pl-PL"/>
        </w:rPr>
        <w:t> </w:t>
      </w:r>
      <w:r w:rsidRPr="008000FB">
        <w:rPr>
          <w:rFonts w:asciiTheme="minorHAnsi" w:hAnsiTheme="minorHAnsi" w:cstheme="minorHAnsi"/>
          <w:color w:val="000000"/>
          <w:lang w:val="pl-PL"/>
        </w:rPr>
        <w:t xml:space="preserve">sprawy lokalne (w większości organizacji działają wciąż te same osoby), niski poziom kapitału społecznego, słabnące więzi lokalne; </w:t>
      </w:r>
    </w:p>
    <w:p w14:paraId="76695804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Słaba współpraca między samorządem, przedsiębiorcami i organizacjami pozarządowymi</w:t>
      </w:r>
    </w:p>
    <w:p w14:paraId="42628358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lastRenderedPageBreak/>
        <w:t>Wysoki poziom bezrobocia na tle innych powiatów w Małopolsce oraz wysoki odsetek długotrwale bezrobotnych (27%); bezrobocie dziedziczne</w:t>
      </w:r>
    </w:p>
    <w:p w14:paraId="5855A467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 xml:space="preserve">Dominacja wśród bezrobotnych osób młodych do 35 r.ż. (które stanowią 57% ogółu bezrobotnych) oraz osób z krótkim lub żadnym stażem zawodowym;  </w:t>
      </w:r>
    </w:p>
    <w:p w14:paraId="6890F0A9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Zła sytuacja materialna rodzin wielodzietnych, niska aktywność zawodowa kobiet-matek i co się z</w:t>
      </w:r>
      <w:r>
        <w:rPr>
          <w:rFonts w:asciiTheme="minorHAnsi" w:hAnsiTheme="minorHAnsi" w:cstheme="minorHAnsi"/>
          <w:color w:val="000000"/>
          <w:lang w:val="pl-PL"/>
        </w:rPr>
        <w:t> </w:t>
      </w:r>
      <w:r w:rsidRPr="008000FB">
        <w:rPr>
          <w:rFonts w:asciiTheme="minorHAnsi" w:hAnsiTheme="minorHAnsi" w:cstheme="minorHAnsi"/>
          <w:color w:val="000000"/>
          <w:lang w:val="pl-PL"/>
        </w:rPr>
        <w:t>tym wiąże wysokie bezrobocie i ubóstwo w tej grupie społecznej</w:t>
      </w:r>
    </w:p>
    <w:p w14:paraId="1B6D7D28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 xml:space="preserve">Trudności w pozyskiwaniu kapitału przez  mikro i małe przedsiębiorstwa i osoby rozpoczynające działalność gospodarczą </w:t>
      </w:r>
    </w:p>
    <w:p w14:paraId="52672160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Znikoma liczba dużych zakładów pracy, mogących zatrudnić większą liczbę osób</w:t>
      </w:r>
    </w:p>
    <w:p w14:paraId="59784268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Niewystarczający poziom przedsiębiorczości o czym świadczą niższe niż w powiatach i</w:t>
      </w:r>
      <w:r>
        <w:rPr>
          <w:rFonts w:asciiTheme="minorHAnsi" w:hAnsiTheme="minorHAnsi" w:cstheme="minorHAnsi"/>
          <w:color w:val="000000"/>
          <w:lang w:val="pl-PL"/>
        </w:rPr>
        <w:t> </w:t>
      </w:r>
      <w:r w:rsidRPr="008000FB">
        <w:rPr>
          <w:rFonts w:asciiTheme="minorHAnsi" w:hAnsiTheme="minorHAnsi" w:cstheme="minorHAnsi"/>
          <w:color w:val="000000"/>
          <w:lang w:val="pl-PL"/>
        </w:rPr>
        <w:t>województwie wskaźniki przedsiębiorczości dla obszaru</w:t>
      </w:r>
    </w:p>
    <w:p w14:paraId="75986426" w14:textId="77777777" w:rsidR="004163EF" w:rsidRPr="008000FB" w:rsidRDefault="004163EF" w:rsidP="004163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  <w:r w:rsidRPr="008000FB">
        <w:rPr>
          <w:rFonts w:asciiTheme="minorHAnsi" w:hAnsiTheme="minorHAnsi" w:cstheme="minorHAnsi"/>
          <w:color w:val="000000"/>
          <w:lang w:val="pl-PL"/>
        </w:rPr>
        <w:t>Rosnąca liczba osób zagrożonych wykluczeniem społecznym na obszarze PLGD</w:t>
      </w:r>
    </w:p>
    <w:p w14:paraId="7246F3DF" w14:textId="77777777" w:rsidR="004163EF" w:rsidRPr="008000FB" w:rsidRDefault="004163EF" w:rsidP="004163EF">
      <w:pPr>
        <w:pStyle w:val="Akapitzlist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pl-PL"/>
        </w:rPr>
      </w:pPr>
    </w:p>
    <w:p w14:paraId="45F884D9" w14:textId="3801F683" w:rsidR="004163EF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Niewątpliwie duże zmiany wprowadził stan zagrożenia epidemicznego ogłoszony w Polsce od 03.2020 r. – jednak nie tyle na dezaktualizację LSR co przedsiębiorczość mieszkańców, poszukujących innych źródeł dochodów (własna firma) np. po utracie stanowiska pracy z powodu COVID. </w:t>
      </w:r>
    </w:p>
    <w:p w14:paraId="3E5ACD5E" w14:textId="77777777" w:rsidR="004163EF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1E822721" w14:textId="77777777" w:rsidR="004163EF" w:rsidRPr="00040647" w:rsidRDefault="004163EF" w:rsidP="004163EF">
      <w:pPr>
        <w:shd w:val="clear" w:color="auto" w:fill="A8D08D" w:themeFill="accent6" w:themeFillTint="99"/>
        <w:autoSpaceDE w:val="0"/>
        <w:autoSpaceDN w:val="0"/>
        <w:adjustRightInd w:val="0"/>
        <w:spacing w:line="240" w:lineRule="auto"/>
        <w:rPr>
          <w:caps/>
          <w:color w:val="000000"/>
        </w:rPr>
      </w:pPr>
      <w:r w:rsidRPr="00040647">
        <w:rPr>
          <w:caps/>
          <w:color w:val="000000"/>
        </w:rPr>
        <w:t>OCENA aktualności i adekwatności procedur ORAZ kryteriów oceny i wyboru projektów</w:t>
      </w:r>
    </w:p>
    <w:p w14:paraId="0223E513" w14:textId="77777777" w:rsidR="004163EF" w:rsidRPr="00407BDA" w:rsidRDefault="004163EF" w:rsidP="004163EF">
      <w:pPr>
        <w:autoSpaceDE w:val="0"/>
        <w:autoSpaceDN w:val="0"/>
        <w:adjustRightInd w:val="0"/>
        <w:spacing w:line="240" w:lineRule="auto"/>
        <w:jc w:val="both"/>
      </w:pPr>
      <w:r w:rsidRPr="00852078">
        <w:t xml:space="preserve">Oceny zagadnienia dokonano na podstawie analizy procedur, kryteriów oraz analizy dokonywanych przez LGD zmian w dokumentach w szczególności aktualizacji wynikających ze zmian prawnych oraz w dążeniu do poprawy sprawności oceny i jasności dokumentacji LGD dla oceniających, wnioskodawców i innych odbiorców procedur i kryteriów. Biuro LGD prowadzi rejestr zmian do umowy ramowej w tym zmian w </w:t>
      </w:r>
      <w:r w:rsidRPr="00407BDA">
        <w:t>zakresie kryteriów i procedur.</w:t>
      </w:r>
    </w:p>
    <w:p w14:paraId="33D49C99" w14:textId="67299E23" w:rsidR="004163EF" w:rsidRPr="001554DC" w:rsidRDefault="004163EF" w:rsidP="001554DC">
      <w:pPr>
        <w:autoSpaceDE w:val="0"/>
        <w:autoSpaceDN w:val="0"/>
        <w:adjustRightInd w:val="0"/>
        <w:spacing w:line="240" w:lineRule="auto"/>
        <w:jc w:val="both"/>
        <w:rPr>
          <w:rStyle w:val="Hipercze"/>
          <w:color w:val="auto"/>
          <w:u w:val="none"/>
        </w:rPr>
      </w:pPr>
      <w:r w:rsidRPr="00407BDA">
        <w:t xml:space="preserve">Lokalne Kryteria wyboru projektów jak również procedury są stale aktualizowane i dostosowywane do zmian legislacyjnych oraz oczekiwań lokalnej społeczności. </w:t>
      </w:r>
    </w:p>
    <w:p w14:paraId="463F52D9" w14:textId="447E4AAA" w:rsidR="004163EF" w:rsidRDefault="004163EF" w:rsidP="004163EF">
      <w:pPr>
        <w:rPr>
          <w:b/>
          <w:bCs/>
          <w:i/>
          <w:iCs/>
          <w:color w:val="002060"/>
        </w:rPr>
      </w:pPr>
    </w:p>
    <w:p w14:paraId="601448EC" w14:textId="77777777" w:rsidR="004163EF" w:rsidRDefault="004163EF" w:rsidP="004163EF">
      <w:pPr>
        <w:shd w:val="clear" w:color="auto" w:fill="A8D08D" w:themeFill="accent6" w:themeFillTint="99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REALIZACJA RZECZOWA WSKAŹNIKÓW LSR I OCENA ADEKWATNOŚCI PRZYJĘTYCH WSKAŹNIKÓW DO ANALIZY SWOT</w:t>
      </w:r>
    </w:p>
    <w:p w14:paraId="053E70A9" w14:textId="77777777" w:rsidR="004163EF" w:rsidRDefault="004163EF" w:rsidP="004163E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4774BE96" w14:textId="77777777" w:rsidR="004163EF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Oceny adekwatności przyjętych wskaźników realizacji LSR i celów do zdiagnozowanych w LSR problemów i słabych stron obszaru PLGD dokonano na podstawie skonfrontowania analizy SWOT z aktualnym poziomem realizacji rzeczowej LSR - realizacji wskaźników LSR.</w:t>
      </w:r>
    </w:p>
    <w:p w14:paraId="64C06D5C" w14:textId="3F4F5474" w:rsidR="004163EF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Realizacja Rzeczowa (wskaźnikowa) LSR jest wg stanu na dzień 31.12.202</w:t>
      </w:r>
      <w:r w:rsidR="001554DC">
        <w:rPr>
          <w:color w:val="000000"/>
        </w:rPr>
        <w:t>2</w:t>
      </w:r>
      <w:r>
        <w:rPr>
          <w:color w:val="000000"/>
        </w:rPr>
        <w:t xml:space="preserve">r. na wysokim poziomie podobnie jak realizacja finansowa. </w:t>
      </w:r>
    </w:p>
    <w:p w14:paraId="45305FB4" w14:textId="4CACA472" w:rsidR="004163EF" w:rsidRPr="00AA657E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>
        <w:rPr>
          <w:color w:val="000000"/>
        </w:rPr>
        <w:t>Podpisane umowy jak również wnioski będące w ocenie (</w:t>
      </w:r>
      <w:r w:rsidR="001554DC">
        <w:rPr>
          <w:color w:val="000000"/>
        </w:rPr>
        <w:t>8</w:t>
      </w:r>
      <w:r>
        <w:rPr>
          <w:color w:val="000000"/>
        </w:rPr>
        <w:t xml:space="preserve"> wniosków w</w:t>
      </w:r>
      <w:r w:rsidR="001554DC">
        <w:rPr>
          <w:color w:val="000000"/>
        </w:rPr>
        <w:t xml:space="preserve"> ramach przedsięwzięcia 1.2.1</w:t>
      </w:r>
      <w:r>
        <w:rPr>
          <w:color w:val="000000"/>
        </w:rPr>
        <w:t>) i planowane nabory w ramach naborów 202</w:t>
      </w:r>
      <w:r w:rsidR="001554DC">
        <w:rPr>
          <w:color w:val="000000"/>
        </w:rPr>
        <w:t>3</w:t>
      </w:r>
      <w:r>
        <w:rPr>
          <w:color w:val="000000"/>
        </w:rPr>
        <w:t xml:space="preserve"> pozwolą na osiągniecie wszystkich wskaźników produktu </w:t>
      </w:r>
      <w:r w:rsidRPr="00AA657E">
        <w:rPr>
          <w:rFonts w:cstheme="minorHAnsi"/>
          <w:color w:val="000000"/>
        </w:rPr>
        <w:t>wskazanych LSR w 100%.</w:t>
      </w:r>
    </w:p>
    <w:p w14:paraId="4BFBFA60" w14:textId="4F963A28" w:rsidR="001554DC" w:rsidRPr="00AA657E" w:rsidRDefault="001554DC" w:rsidP="004163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roku 2022 podpisano umowę na realizację projektu współpracy międzynarodowego w ramach poddziałania </w:t>
      </w:r>
      <w:r>
        <w:rPr>
          <w:rFonts w:eastAsia="Times New Roman" w:cstheme="minorHAnsi"/>
          <w:lang w:eastAsia="pl-PL"/>
        </w:rPr>
        <w:t xml:space="preserve">2.3.3. </w:t>
      </w:r>
      <w:r w:rsidRPr="008E05F9">
        <w:rPr>
          <w:rFonts w:eastAsia="Times New Roman" w:cstheme="minorHAnsi"/>
          <w:lang w:eastAsia="pl-PL"/>
        </w:rPr>
        <w:t>Rozwój potencjału turystycznego w oparciu o dziedzictwo kulturowe i artystyczne obszaru</w:t>
      </w:r>
      <w:r>
        <w:rPr>
          <w:rFonts w:eastAsia="Times New Roman" w:cstheme="minorHAnsi"/>
          <w:lang w:eastAsia="pl-PL"/>
        </w:rPr>
        <w:t xml:space="preserve"> na kwotę ponad 200 000,00 zł.  Projekt realizowany jest w województwie opolskim z Stowarzyszeniem Kraina św. Anny.</w:t>
      </w:r>
      <w:r w:rsidR="00FA509D">
        <w:rPr>
          <w:rFonts w:eastAsia="Times New Roman" w:cstheme="minorHAnsi"/>
          <w:lang w:eastAsia="pl-PL"/>
        </w:rPr>
        <w:t xml:space="preserve"> </w:t>
      </w:r>
      <w:r w:rsidR="004163EF" w:rsidRPr="00AA657E">
        <w:rPr>
          <w:rFonts w:cstheme="minorHAnsi"/>
          <w:color w:val="000000"/>
        </w:rPr>
        <w:t xml:space="preserve">Z informacji z biura LGD </w:t>
      </w:r>
      <w:r>
        <w:rPr>
          <w:rFonts w:cstheme="minorHAnsi"/>
          <w:color w:val="000000"/>
        </w:rPr>
        <w:t xml:space="preserve">niebawem zostanie podpisana umowa na realizację projektu rowerowego w ramach </w:t>
      </w:r>
      <w:r w:rsidR="004163EF" w:rsidRPr="00AA657E">
        <w:rPr>
          <w:rFonts w:cstheme="minorHAnsi"/>
          <w:color w:val="000000"/>
        </w:rPr>
        <w:t xml:space="preserve">przedsięwzięcia </w:t>
      </w:r>
      <w:r w:rsidR="004163EF" w:rsidRPr="00AA657E">
        <w:rPr>
          <w:rFonts w:eastAsia="Times New Roman" w:cstheme="minorHAnsi"/>
          <w:lang w:eastAsia="pl-PL"/>
        </w:rPr>
        <w:t>2.3.2. Działania na rzecz rozwijania ponadregionalnej oferty turystycznej</w:t>
      </w:r>
      <w:r w:rsidR="004163EF">
        <w:rPr>
          <w:rFonts w:eastAsia="Times New Roman" w:cstheme="minorHAnsi"/>
          <w:lang w:eastAsia="pl-PL"/>
        </w:rPr>
        <w:t xml:space="preserve"> </w:t>
      </w:r>
      <w:r w:rsidR="004163EF" w:rsidRPr="00AA657E">
        <w:rPr>
          <w:rFonts w:eastAsia="Times New Roman" w:cstheme="minorHAnsi"/>
          <w:lang w:eastAsia="pl-PL"/>
        </w:rPr>
        <w:t xml:space="preserve">przy kwocie dofinansowania dla PLGD </w:t>
      </w:r>
      <w:r w:rsidR="00FA509D">
        <w:rPr>
          <w:rFonts w:eastAsia="Times New Roman" w:cstheme="minorHAnsi"/>
          <w:lang w:eastAsia="pl-PL"/>
        </w:rPr>
        <w:t>630 000,00 zł dla Podhalańskiej LGD</w:t>
      </w:r>
      <w:r w:rsidR="004163EF">
        <w:rPr>
          <w:rFonts w:eastAsia="Times New Roman" w:cstheme="minorHAnsi"/>
          <w:lang w:eastAsia="pl-PL"/>
        </w:rPr>
        <w:t>.</w:t>
      </w:r>
      <w:r w:rsidR="004163EF" w:rsidRPr="00AA657E">
        <w:rPr>
          <w:rFonts w:eastAsia="Times New Roman" w:cstheme="minorHAnsi"/>
          <w:lang w:eastAsia="pl-PL"/>
        </w:rPr>
        <w:t xml:space="preserve"> </w:t>
      </w:r>
      <w:r w:rsidR="00FA509D">
        <w:rPr>
          <w:rFonts w:eastAsia="Times New Roman" w:cstheme="minorHAnsi"/>
          <w:lang w:eastAsia="pl-PL"/>
        </w:rPr>
        <w:t xml:space="preserve">Do UMWM złożony został również </w:t>
      </w:r>
      <w:r w:rsidR="004163EF" w:rsidRPr="00AA657E">
        <w:rPr>
          <w:rFonts w:eastAsia="Times New Roman" w:cstheme="minorHAnsi"/>
          <w:lang w:eastAsia="pl-PL"/>
        </w:rPr>
        <w:t xml:space="preserve">projekt współpracy międzynarodowy na kwotę dofinansowania dla PLGD </w:t>
      </w:r>
      <w:r w:rsidR="004163EF" w:rsidRPr="008E05F9">
        <w:rPr>
          <w:rFonts w:eastAsia="Times New Roman" w:cstheme="minorHAnsi"/>
          <w:lang w:eastAsia="pl-PL"/>
        </w:rPr>
        <w:t>12</w:t>
      </w:r>
      <w:r w:rsidR="004163EF">
        <w:rPr>
          <w:rFonts w:eastAsia="Times New Roman" w:cstheme="minorHAnsi"/>
          <w:lang w:eastAsia="pl-PL"/>
        </w:rPr>
        <w:t xml:space="preserve"> </w:t>
      </w:r>
      <w:r w:rsidR="004163EF" w:rsidRPr="008E05F9">
        <w:rPr>
          <w:rFonts w:eastAsia="Times New Roman" w:cstheme="minorHAnsi"/>
          <w:lang w:eastAsia="pl-PL"/>
        </w:rPr>
        <w:t>5</w:t>
      </w:r>
      <w:r w:rsidR="004163EF">
        <w:rPr>
          <w:rFonts w:eastAsia="Times New Roman" w:cstheme="minorHAnsi"/>
          <w:lang w:eastAsia="pl-PL"/>
        </w:rPr>
        <w:t>00,00 EUR</w:t>
      </w:r>
      <w:r w:rsidR="004163EF" w:rsidRPr="00AA657E">
        <w:rPr>
          <w:rFonts w:eastAsia="Times New Roman" w:cstheme="minorHAnsi"/>
          <w:lang w:eastAsia="pl-PL"/>
        </w:rPr>
        <w:t xml:space="preserve">, który pozwoli zrealizować wskaźniki przedsięwzięcia: 2.2.3. Tworzenie sieci powiązań i kooperacji na rzecz zwiększenia dostępności produktów lokalnych dla </w:t>
      </w:r>
      <w:r w:rsidR="004163EF" w:rsidRPr="00AA657E">
        <w:rPr>
          <w:rFonts w:eastAsia="Times New Roman" w:cstheme="minorHAnsi"/>
          <w:lang w:eastAsia="pl-PL"/>
        </w:rPr>
        <w:lastRenderedPageBreak/>
        <w:t>mieszkańców i turystów</w:t>
      </w:r>
      <w:r w:rsidR="004163EF">
        <w:rPr>
          <w:rFonts w:eastAsia="Times New Roman" w:cstheme="minorHAnsi"/>
          <w:lang w:eastAsia="pl-PL"/>
        </w:rPr>
        <w:t>.</w:t>
      </w:r>
      <w:r w:rsidR="00FA509D">
        <w:rPr>
          <w:rFonts w:eastAsia="Times New Roman" w:cstheme="minorHAnsi"/>
          <w:lang w:eastAsia="pl-PL"/>
        </w:rPr>
        <w:t xml:space="preserve"> W</w:t>
      </w:r>
      <w:r w:rsidRPr="00AA657E">
        <w:rPr>
          <w:rFonts w:cstheme="minorHAnsi"/>
          <w:color w:val="000000"/>
        </w:rPr>
        <w:t xml:space="preserve"> związku </w:t>
      </w:r>
      <w:r w:rsidR="00FA509D">
        <w:rPr>
          <w:rFonts w:cstheme="minorHAnsi"/>
          <w:color w:val="000000"/>
        </w:rPr>
        <w:t>powyższym</w:t>
      </w:r>
      <w:r w:rsidRPr="00AA657E">
        <w:rPr>
          <w:rFonts w:cstheme="minorHAnsi"/>
          <w:color w:val="000000"/>
        </w:rPr>
        <w:t xml:space="preserve"> realizacja budżetu i wskaźników przewidzianych dla tych przedsięwzięć</w:t>
      </w:r>
      <w:r w:rsidR="00FA509D">
        <w:rPr>
          <w:rFonts w:cstheme="minorHAnsi"/>
          <w:color w:val="000000"/>
        </w:rPr>
        <w:t xml:space="preserve"> wydaje się być niezagrożona.</w:t>
      </w:r>
    </w:p>
    <w:p w14:paraId="4A47FAC3" w14:textId="77777777" w:rsidR="004163EF" w:rsidRPr="00AA657E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AA657E">
        <w:rPr>
          <w:rFonts w:cstheme="minorHAnsi"/>
          <w:color w:val="000000"/>
        </w:rPr>
        <w:t>Przedsięwzięcie Wsparcie na rzecz kosztów bieżących i aktywizacji jest realizowane sukcesywnie, część wskaźników związanych z aktywizacją została już znacznie przekroczona – np. w związku z większą liczba naborów zorganizowano więcej spotkań/ szkoleń dla mieszkańców.</w:t>
      </w:r>
    </w:p>
    <w:p w14:paraId="466BF0F8" w14:textId="77777777" w:rsidR="004163EF" w:rsidRDefault="004163EF" w:rsidP="004163EF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W ujęciu tabelarycznym w rozbiciu na realizację w podpisanych umowach i wnioskach rozliczonych realizacja rzeczowa przedstawia się następująco - </w:t>
      </w:r>
      <w:r w:rsidRPr="00AA657E">
        <w:rPr>
          <w:b/>
          <w:bCs/>
          <w:color w:val="000000"/>
        </w:rPr>
        <w:t>Tabela.6.</w:t>
      </w:r>
    </w:p>
    <w:tbl>
      <w:tblPr>
        <w:tblW w:w="95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830"/>
        <w:gridCol w:w="992"/>
        <w:gridCol w:w="993"/>
        <w:gridCol w:w="789"/>
        <w:gridCol w:w="770"/>
        <w:gridCol w:w="160"/>
      </w:tblGrid>
      <w:tr w:rsidR="004163EF" w:rsidRPr="008E05F9" w14:paraId="05DAD693" w14:textId="77777777" w:rsidTr="00016C88">
        <w:trPr>
          <w:gridAfter w:val="1"/>
          <w:wAfter w:w="160" w:type="dxa"/>
          <w:trHeight w:val="78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60823AD" w14:textId="77777777" w:rsidR="004163EF" w:rsidRPr="008E05F9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05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Przedsięwzięcie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14D658F" w14:textId="77777777" w:rsidR="004163EF" w:rsidRPr="008E05F9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05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Wskaźniki produktu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13E0441" w14:textId="77777777" w:rsidR="004163EF" w:rsidRPr="008E05F9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05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335FB46" w14:textId="77777777" w:rsidR="004163EF" w:rsidRPr="008E05F9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05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Stan docelowy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8F54EBF" w14:textId="77777777" w:rsidR="004163EF" w:rsidRPr="008E05F9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E05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Realizacja (%)</w:t>
            </w:r>
          </w:p>
        </w:tc>
      </w:tr>
      <w:tr w:rsidR="004163EF" w:rsidRPr="008E05F9" w14:paraId="094B6F25" w14:textId="77777777" w:rsidTr="00EC48B7">
        <w:trPr>
          <w:gridAfter w:val="1"/>
          <w:wAfter w:w="160" w:type="dxa"/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7668012" w14:textId="77777777" w:rsidR="004163EF" w:rsidRPr="008E05F9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24C14FE" w14:textId="77777777" w:rsidR="004163EF" w:rsidRPr="008E05F9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BCE4809" w14:textId="77777777" w:rsidR="004163EF" w:rsidRPr="008E05F9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3AE7389" w14:textId="77777777" w:rsidR="004163EF" w:rsidRPr="008E05F9" w:rsidRDefault="004163EF" w:rsidP="00EC4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69328C2" w14:textId="77777777" w:rsidR="004163EF" w:rsidRPr="008E05F9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E05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68F7A16" w14:textId="77777777" w:rsidR="004163EF" w:rsidRPr="008E05F9" w:rsidRDefault="004163EF" w:rsidP="00EC4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E05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</w:t>
            </w:r>
          </w:p>
        </w:tc>
      </w:tr>
      <w:tr w:rsidR="004163EF" w:rsidRPr="008E05F9" w14:paraId="6B87218A" w14:textId="77777777" w:rsidTr="00EC48B7">
        <w:trPr>
          <w:gridAfter w:val="1"/>
          <w:wAfter w:w="160" w:type="dxa"/>
          <w:trHeight w:val="7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F3870E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Tworzenie i rozwój ogólnodostępnej niekomercyjnej infrastruktury turystycznej, rekreacyjnej, sportowej kulturalnej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90E8CB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nowych/ zmodernizowanych /doposażonych obiektów/miejsc infrastruktury turystycznej, rekreacyjnej, sportowej kulturalnej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3FA33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663FC9" w14:textId="6BA8EF13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FA509D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AA000D" w14:textId="58798758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  <w:r w:rsidR="00FA509D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="00FA509D"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D0BA48" w14:textId="0A24AC04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88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00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</w:tr>
      <w:tr w:rsidR="004163EF" w:rsidRPr="008E05F9" w14:paraId="7C529F84" w14:textId="77777777" w:rsidTr="00EC48B7">
        <w:trPr>
          <w:gridAfter w:val="1"/>
          <w:wAfter w:w="160" w:type="dxa"/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1E8C9D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Polepszenie oferty spędzania wolnego czasu poprzez zajęcia sportowe, rekreacyjne, ekologiczne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054903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działań promujących zdrowy i aktywny tryb życia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CEDA1A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91BB09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C12CD3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600,00%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E1825B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600,00%</w:t>
            </w:r>
          </w:p>
        </w:tc>
      </w:tr>
      <w:tr w:rsidR="004163EF" w:rsidRPr="008E05F9" w14:paraId="71DBEE13" w14:textId="77777777" w:rsidTr="00EC48B7">
        <w:trPr>
          <w:gridAfter w:val="1"/>
          <w:wAfter w:w="160" w:type="dxa"/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BE8F94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Podnoszenie świadomości społeczności lokalnej w zakresie ochrony środowiska, przeciwdziałania zmianom klimatu oraz promowanie działań proekologicznych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96E7BA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inicjatyw edukacyjnych oraz </w:t>
            </w:r>
            <w:proofErr w:type="spellStart"/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informacyjno</w:t>
            </w:r>
            <w:proofErr w:type="spellEnd"/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-promocyjnych z zakresu ekologii, ochrony środowiska, przeciwdziałania zmianom klimatu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447E92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B88321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8B4588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F74341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</w:tr>
      <w:tr w:rsidR="004163EF" w:rsidRPr="008E05F9" w14:paraId="2EA86B37" w14:textId="77777777" w:rsidTr="00EC48B7">
        <w:trPr>
          <w:gridAfter w:val="1"/>
          <w:wAfter w:w="160" w:type="dxa"/>
          <w:trHeight w:val="567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494A76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Wzmacnianie tożsamości regionalnej oraz działania na rzecz integracji, aktywizacji i </w:t>
            </w:r>
            <w:r w:rsidRPr="008E05F9">
              <w:rPr>
                <w:rFonts w:eastAsia="Times New Roman" w:cstheme="minorHAnsi"/>
                <w:sz w:val="18"/>
                <w:szCs w:val="18"/>
                <w:shd w:val="clear" w:color="auto" w:fill="E2EFD9" w:themeFill="accent6" w:themeFillTint="33"/>
                <w:lang w:eastAsia="pl-PL"/>
              </w:rPr>
              <w:t xml:space="preserve">umacniania więzi lokalnych wśród mieszkańców obszaru PLGD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BA5893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operacji obejmujących wyposażenie podmiotów działających w sferze 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E4D2B9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74DC72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39E810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88A82B" w14:textId="658ECD6E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  <w:r w:rsidR="00FA509D">
              <w:rPr>
                <w:rFonts w:eastAsia="Times New Roman" w:cstheme="minorHAnsi"/>
                <w:sz w:val="18"/>
                <w:szCs w:val="18"/>
                <w:lang w:eastAsia="pl-PL"/>
              </w:rPr>
              <w:t>,00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</w:tr>
      <w:tr w:rsidR="004163EF" w:rsidRPr="008E05F9" w14:paraId="32E990B6" w14:textId="77777777" w:rsidTr="00EC48B7">
        <w:trPr>
          <w:gridAfter w:val="1"/>
          <w:wAfter w:w="160" w:type="dxa"/>
          <w:trHeight w:val="79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25DE8C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D751DC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inicjatyw edukacyjnych i kulturalnych wzmacniających tożsamość regionalną mieszkańców obszaru PLGD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6C5D2F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3F9C01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50BA98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93,33%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12FFBB" w14:textId="72038AD6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93,33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</w:tr>
      <w:tr w:rsidR="004163EF" w:rsidRPr="008E05F9" w14:paraId="52B914C3" w14:textId="77777777" w:rsidTr="00EC48B7">
        <w:trPr>
          <w:gridAfter w:val="1"/>
          <w:wAfter w:w="160" w:type="dxa"/>
          <w:trHeight w:val="62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61768D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0DD04C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wydanych wydawnictw/materiałów promujących kulturę obszaru PLGD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FCBB9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B6653B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565131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150,00%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758696" w14:textId="4301B9C3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</w:tr>
      <w:tr w:rsidR="004163EF" w:rsidRPr="008E05F9" w14:paraId="2365C477" w14:textId="77777777" w:rsidTr="00EC48B7">
        <w:trPr>
          <w:gridAfter w:val="1"/>
          <w:wAfter w:w="160" w:type="dxa"/>
          <w:trHeight w:val="397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5E68BD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DE4E3B7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działań aktywizujących i integrujących lokalną społeczność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00C125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FE5DD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63D4AF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1600,00%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E2F88B" w14:textId="001208B6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1600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,00%</w:t>
            </w:r>
          </w:p>
        </w:tc>
      </w:tr>
      <w:tr w:rsidR="004163EF" w:rsidRPr="008E05F9" w14:paraId="45F61962" w14:textId="77777777" w:rsidTr="00EC48B7">
        <w:trPr>
          <w:gridAfter w:val="1"/>
          <w:wAfter w:w="160" w:type="dxa"/>
          <w:trHeight w:val="10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2EC626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Wspieranie działań na rzecz ochrony i zachowania dziedzictwa kulturowego i przyrodniczego obszaru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746D22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zabytków poddana pracom konserwatorskim lub restauratorskim w wyniku wsparcia otrzymanego w ramach realizacji strategii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8B7636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42CCAF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B331F5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9082C8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</w:tr>
      <w:tr w:rsidR="004163EF" w:rsidRPr="008E05F9" w14:paraId="0A02939A" w14:textId="77777777" w:rsidTr="00EC48B7">
        <w:trPr>
          <w:gridAfter w:val="1"/>
          <w:wAfter w:w="160" w:type="dxa"/>
          <w:trHeight w:val="85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389F91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4E44C8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podmiotów działających w sferze kultury lub dziedzictwa przyrodniczego, które otrzymały wsparcie w ramach realizacji LSR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B194F4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AC4ED9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59BE7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ED8B37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</w:tr>
      <w:tr w:rsidR="004163EF" w:rsidRPr="008E05F9" w14:paraId="680F4EF0" w14:textId="77777777" w:rsidTr="00EC48B7">
        <w:trPr>
          <w:gridAfter w:val="1"/>
          <w:wAfter w:w="160" w:type="dxa"/>
          <w:trHeight w:val="454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E52D86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Wsparcie organizacji pozarządowych w zakresie działalności statutowej i działań innowacyjnych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103876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wspartych organizacji/grup nieformalnych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52C4FC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5BC147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129071" w14:textId="4FF92832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91,67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3C1C1D" w14:textId="30ADC85E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58,33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</w:tr>
      <w:tr w:rsidR="004163EF" w:rsidRPr="008E05F9" w14:paraId="54C07DD3" w14:textId="77777777" w:rsidTr="00EC48B7">
        <w:trPr>
          <w:gridAfter w:val="1"/>
          <w:wAfter w:w="160" w:type="dxa"/>
          <w:trHeight w:val="567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543530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8950C5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zrealizowanych innowacyjnych działań przez organizacje pozarządowe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EC89B6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6BAD35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E0BCE6" w14:textId="0D8E86F1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132,35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BB8A97" w14:textId="720636D6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91,18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</w:tr>
      <w:tr w:rsidR="004163EF" w:rsidRPr="008E05F9" w14:paraId="55CAD142" w14:textId="77777777" w:rsidTr="00EC48B7">
        <w:trPr>
          <w:gridAfter w:val="1"/>
          <w:wAfter w:w="160" w:type="dxa"/>
          <w:trHeight w:val="10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A7DF9D" w14:textId="77777777" w:rsidR="004163EF" w:rsidRPr="008E05F9" w:rsidRDefault="004163EF" w:rsidP="00EC48B7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PREMIA NA STRAT - wsparcie na podjęcie działalności gospodarczej, w tym opartej na innowacjach i zakładanych przez osoby z grup </w:t>
            </w:r>
            <w:proofErr w:type="spellStart"/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defaworyzowanych</w:t>
            </w:r>
            <w:proofErr w:type="spellEnd"/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3A93AD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operacji polegająca na utworzeniu nowego przedsiębiorstwa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w tym przedsiębiorstw wprowadzających innowacje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40479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081DF0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22   (1)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715A1A" w14:textId="5A44D6A3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104,55</w:t>
            </w:r>
            <w:r w:rsidR="004163EF" w:rsidRPr="008E05F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9A7017" w14:textId="5439EE8D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="00FA509D">
              <w:rPr>
                <w:rFonts w:eastAsia="Times New Roman" w:cstheme="minorHAnsi"/>
                <w:sz w:val="18"/>
                <w:szCs w:val="18"/>
                <w:lang w:eastAsia="pl-PL"/>
              </w:rPr>
              <w:t>4,55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</w:tr>
      <w:tr w:rsidR="004163EF" w:rsidRPr="008E05F9" w14:paraId="7CE11259" w14:textId="77777777" w:rsidTr="00EC48B7">
        <w:trPr>
          <w:gridAfter w:val="1"/>
          <w:wAfter w:w="160" w:type="dxa"/>
          <w:trHeight w:val="1247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CAC5F0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E1876C8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operacji polegająca na utworzeniu nowego przedsiębiorstwa  przez osoby z grup </w:t>
            </w:r>
            <w:proofErr w:type="spellStart"/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defaworyzowanych</w:t>
            </w:r>
            <w:proofErr w:type="spellEnd"/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 w tym przedsiębiorstw wprowadzających innowacje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91B464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C24315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19 (2)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94660D" w14:textId="701801D9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100</w:t>
            </w:r>
            <w:r w:rsidR="004163EF" w:rsidRPr="008E05F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1BF05D" w14:textId="465EA85F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94,74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</w:tr>
      <w:tr w:rsidR="004163EF" w:rsidRPr="008E05F9" w14:paraId="3E3A9090" w14:textId="77777777" w:rsidTr="00EC48B7">
        <w:trPr>
          <w:gridAfter w:val="1"/>
          <w:wAfter w:w="160" w:type="dxa"/>
          <w:trHeight w:val="10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189D61E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Wspieranie rozwoju przedsiębiorstw na rzecz tworzenia nowych miejsc pracy w tym również opartych na innowacjach i zatrudniających osoby z  grup </w:t>
            </w:r>
            <w:proofErr w:type="spellStart"/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defaworyzowanych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FE82B6A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operacji polegająca na rozwoju istniejącego przedsiębiorstwa,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w tym wprowadzającego innowacje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D67EA4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C51A3E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13   (1)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8C8CFF" w14:textId="7B3949E0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76,92</w:t>
            </w:r>
            <w:r w:rsidR="004163EF" w:rsidRPr="008E05F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09EF9F" w14:textId="7F007D3D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61,54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</w:tr>
      <w:tr w:rsidR="004163EF" w:rsidRPr="008E05F9" w14:paraId="6D7720A8" w14:textId="77777777" w:rsidTr="00EC48B7">
        <w:trPr>
          <w:gridAfter w:val="1"/>
          <w:wAfter w:w="160" w:type="dxa"/>
          <w:trHeight w:val="1134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C8AA12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315280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operacji polegająca na rozwoju istniejącego przedsiębiorstwa które tworzy miejsca pracy dla osób z grup </w:t>
            </w:r>
            <w:proofErr w:type="spellStart"/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defaworyzowanych</w:t>
            </w:r>
            <w:proofErr w:type="spellEnd"/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36C9CC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E87405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B7C6A6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4C982F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</w:tr>
      <w:tr w:rsidR="004163EF" w:rsidRPr="008E05F9" w14:paraId="1CF7F2A6" w14:textId="77777777" w:rsidTr="00EC48B7">
        <w:trPr>
          <w:gridAfter w:val="1"/>
          <w:wAfter w:w="160" w:type="dxa"/>
          <w:trHeight w:val="45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2CC837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Wykorzystanie potencjału produktów lokalnych na rzecz rozwoju lokalnej przedsiębiorczości  – rozwój przetwórstwa, produkcji i dystrybucji  produktów lokalnych /Rozwój przedsiębiorstw w branży spożywczej/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09B122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operacji polegająca na rozwoju działalności gospodarczej w branży spożywczej wykorzystujących potencjał produktów lokalnych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DD464E" w14:textId="77777777" w:rsidR="004163EF" w:rsidRPr="008E05F9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DF2030" w14:textId="77777777" w:rsidR="004163EF" w:rsidRPr="008E05F9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E2A308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9562B1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</w:tr>
      <w:tr w:rsidR="004163EF" w:rsidRPr="008E05F9" w14:paraId="77ADF42F" w14:textId="77777777" w:rsidTr="00EC48B7">
        <w:trPr>
          <w:trHeight w:val="957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2495AE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8F2A12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4DEA1A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1AC110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6D3F95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2CF686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96B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163EF" w:rsidRPr="008E05F9" w14:paraId="25C1AD8B" w14:textId="77777777" w:rsidTr="00EC48B7">
        <w:trPr>
          <w:trHeight w:val="4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7DB8DE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Wspieranie integracji branż mających znaczenie w zakresie produktu lokalnego na Podhalu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29F7FC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działań w zakresie integracji branż mających znaczenie w zakresie produktu lokalnego na Podhalu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1B687F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84A3D4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8DF819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73A921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60" w:type="dxa"/>
            <w:vAlign w:val="center"/>
            <w:hideMark/>
          </w:tcPr>
          <w:p w14:paraId="5C2C2CDB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6C4AB6FE" w14:textId="77777777" w:rsidTr="00EC48B7">
        <w:trPr>
          <w:trHeight w:val="113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2B7B20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Tworzenie sieci powiązań i kooperacji na rzecz zwiększenia dostępności produktów lokalnych dla mieszkańców i turystów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1F34FF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zrealizowanych projektów współpracy międzynarodowej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40E138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0CFF3B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A844C3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62CDDF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4980C678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1C649C11" w14:textId="77777777" w:rsidTr="00EC48B7">
        <w:trPr>
          <w:trHeight w:val="2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5B2078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F9482E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LGD uczestnicząca w projektach współpracy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52C31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13DE10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3B044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20BFE9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26F217E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347A5631" w14:textId="77777777" w:rsidTr="00EC48B7">
        <w:trPr>
          <w:trHeight w:val="68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C401FB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8CD0CD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działań promujących produkty lokalne i żywność wysokiej jakości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33216A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95AA4A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B29700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57A4BB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00576996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72F589C2" w14:textId="77777777" w:rsidTr="00EC48B7">
        <w:trPr>
          <w:trHeight w:val="697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496035" w14:textId="77777777" w:rsidR="004163EF" w:rsidRPr="008E05F9" w:rsidRDefault="004163EF" w:rsidP="00EC48B7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Wydarzenia oraz działania informacyjno-promocyjne na rzecz rozwijania oferty turystycznej obszaru PLGD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FCA148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wspartych inicjatyw z zakresu rozwoju oferty turystycznej obszaru PLGD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C3FA54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676B0B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8248A8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275,00%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2A2FB3" w14:textId="0CEDAF53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FA509D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,00%</w:t>
            </w:r>
          </w:p>
        </w:tc>
        <w:tc>
          <w:tcPr>
            <w:tcW w:w="160" w:type="dxa"/>
            <w:vAlign w:val="center"/>
            <w:hideMark/>
          </w:tcPr>
          <w:p w14:paraId="60749142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17ADD1DA" w14:textId="77777777" w:rsidTr="00EC48B7">
        <w:trPr>
          <w:trHeight w:val="68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B2D02F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6E98CE3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wspartych inicjatyw z zakresu integracji oferty turystycznej obejmującej cały obszar PLGD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CEDD4B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0C77C3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5B54E0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D3D178" w14:textId="156BB0B6" w:rsidR="004163EF" w:rsidRPr="008E05F9" w:rsidRDefault="004163EF" w:rsidP="00FA50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B17B5FF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0137356D" w14:textId="77777777" w:rsidTr="00EC48B7">
        <w:trPr>
          <w:trHeight w:val="567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58665A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Działania na rzecz rozwijania ponadregionalnej oferty turystycznej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5B291F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działań na rzecz rozwijania ponadregionalnej oferty turystycznej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453401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E8B525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7A41C8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3A5A5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21A99148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276683E2" w14:textId="77777777" w:rsidTr="00EC48B7">
        <w:trPr>
          <w:trHeight w:val="57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0947E7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183054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zrealizowanych krajowych projektów współpracy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02C96E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F63C4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7450C8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4BD756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6B90A713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1E4CAFC1" w14:textId="77777777" w:rsidTr="00EC48B7">
        <w:trPr>
          <w:trHeight w:val="17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DE31DF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2BF767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LGD uczestniczących w krajowych projektach współpracy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BEF785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2A7FA3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6F4D47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4F49E6C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76E5201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4D8590E6" w14:textId="77777777" w:rsidTr="00EC48B7">
        <w:trPr>
          <w:trHeight w:val="283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FF4C36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Rozwój potencjału turystycznego w oparciu o dziedzictwo kulturowe i artystyczne obszaru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1BB04D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zrealizowanych projektów współpracy międzynarodowej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473709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1755E5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471553" w14:textId="761BD4B9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09D08B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52923199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22B3336C" w14:textId="77777777" w:rsidTr="00EC48B7">
        <w:trPr>
          <w:trHeight w:val="51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14AAFD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BF060CF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LGD uczestnicząca w projektach współpracy międzynarodowej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BEC82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12649A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AA4455" w14:textId="77119E72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0C494B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1A64A8FA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63EF" w:rsidRPr="008E05F9" w14:paraId="12C2C968" w14:textId="77777777" w:rsidTr="00EC48B7">
        <w:trPr>
          <w:trHeight w:val="283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C87D57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97D5AE8" w14:textId="77777777" w:rsidR="004163EF" w:rsidRPr="008E05F9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działań promujących lokalne produkty rzemieślnicze - 100 osób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154A20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C99149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D740F6" w14:textId="48CB7AD6" w:rsidR="004163EF" w:rsidRPr="008E05F9" w:rsidRDefault="00FA509D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  <w:r w:rsidR="004163EF"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E3F3FD" w14:textId="77777777" w:rsidR="004163EF" w:rsidRPr="008E05F9" w:rsidRDefault="004163EF" w:rsidP="00EC48B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vAlign w:val="center"/>
            <w:hideMark/>
          </w:tcPr>
          <w:p w14:paraId="3713EEF4" w14:textId="77777777" w:rsidR="004163EF" w:rsidRPr="008E05F9" w:rsidRDefault="004163EF" w:rsidP="00EC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089" w:rsidRPr="008E05F9" w14:paraId="4800400C" w14:textId="77777777" w:rsidTr="00FA4089">
        <w:trPr>
          <w:trHeight w:val="454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B54830" w14:textId="77777777" w:rsidR="00FA4089" w:rsidRPr="008E05F9" w:rsidRDefault="00FA4089" w:rsidP="00FA4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Wzmacnianie potencjału LGD, beneficjentów i mieszkańców, funkcjonowanie PLGD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9F3620" w14:textId="77777777" w:rsidR="00FA4089" w:rsidRPr="008E05F9" w:rsidRDefault="00FA4089" w:rsidP="00FA4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osobodni szkoleń dla pracowników LGD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EC378D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osobodzień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1BF277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319BB2" w14:textId="3CE7CC1D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  <w:r w:rsidR="00FA509D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="00FA509D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2EB4AF" w14:textId="24968446" w:rsidR="00FA4089" w:rsidRPr="008E05F9" w:rsidRDefault="00FA509D" w:rsidP="00FA4089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10</w:t>
            </w:r>
            <w:r w:rsidR="00FA4089" w:rsidRPr="00FA4089">
              <w:rPr>
                <w:sz w:val="18"/>
                <w:szCs w:val="18"/>
              </w:rPr>
              <w:t>0,00%</w:t>
            </w:r>
          </w:p>
        </w:tc>
        <w:tc>
          <w:tcPr>
            <w:tcW w:w="160" w:type="dxa"/>
            <w:vAlign w:val="center"/>
            <w:hideMark/>
          </w:tcPr>
          <w:p w14:paraId="28D6802E" w14:textId="77777777" w:rsidR="00FA4089" w:rsidRPr="008E05F9" w:rsidRDefault="00FA4089" w:rsidP="00F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089" w:rsidRPr="008E05F9" w14:paraId="2440070F" w14:textId="77777777" w:rsidTr="00FA4089">
        <w:trPr>
          <w:trHeight w:val="17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A5F64F" w14:textId="77777777" w:rsidR="00FA4089" w:rsidRPr="008E05F9" w:rsidRDefault="00FA4089" w:rsidP="00FA4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E70866" w14:textId="77777777" w:rsidR="00FA4089" w:rsidRPr="008E05F9" w:rsidRDefault="00FA4089" w:rsidP="00FA4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osobodni szkoleń dla organów LGD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39E068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osobodzień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62EE31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58A3AC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95,45%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8BB71A" w14:textId="28FE62C6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18"/>
                <w:szCs w:val="18"/>
                <w:lang w:eastAsia="pl-PL"/>
              </w:rPr>
            </w:pPr>
            <w:r w:rsidRPr="00FA4089">
              <w:rPr>
                <w:sz w:val="18"/>
                <w:szCs w:val="18"/>
              </w:rPr>
              <w:t>95,45%</w:t>
            </w:r>
          </w:p>
        </w:tc>
        <w:tc>
          <w:tcPr>
            <w:tcW w:w="160" w:type="dxa"/>
            <w:vAlign w:val="center"/>
            <w:hideMark/>
          </w:tcPr>
          <w:p w14:paraId="0DFC5470" w14:textId="77777777" w:rsidR="00FA4089" w:rsidRPr="008E05F9" w:rsidRDefault="00FA4089" w:rsidP="00F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089" w:rsidRPr="008E05F9" w14:paraId="206AE43E" w14:textId="77777777" w:rsidTr="00FA4089">
        <w:trPr>
          <w:trHeight w:val="17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5B9108" w14:textId="77777777" w:rsidR="00FA4089" w:rsidRPr="008E05F9" w:rsidRDefault="00FA4089" w:rsidP="00FA4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D7BDCB" w14:textId="77777777" w:rsidR="00FA4089" w:rsidRPr="008E05F9" w:rsidRDefault="00FA4089" w:rsidP="00FA4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podmiotów/osób którym udzielono indywidualnego doradztwa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98DF13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B2BCEF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06FF48" w14:textId="3DACB09F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="00FA509D">
              <w:rPr>
                <w:rFonts w:eastAsia="Times New Roman" w:cstheme="minorHAnsi"/>
                <w:sz w:val="18"/>
                <w:szCs w:val="18"/>
                <w:lang w:eastAsia="pl-PL"/>
              </w:rPr>
              <w:t>6,98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7C3A8E" w14:textId="320B32FD" w:rsidR="00FA4089" w:rsidRPr="008E05F9" w:rsidRDefault="00FA509D" w:rsidP="00FA4089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82,79</w:t>
            </w:r>
            <w:r w:rsidR="00FA4089" w:rsidRPr="00FA4089">
              <w:rPr>
                <w:sz w:val="18"/>
                <w:szCs w:val="18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5BDF4BC6" w14:textId="77777777" w:rsidR="00FA4089" w:rsidRPr="008E05F9" w:rsidRDefault="00FA4089" w:rsidP="00F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089" w:rsidRPr="008E05F9" w14:paraId="231CBF69" w14:textId="77777777" w:rsidTr="00FA4089">
        <w:trPr>
          <w:trHeight w:val="17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C2D4EC" w14:textId="77777777" w:rsidR="00FA4089" w:rsidRPr="008E05F9" w:rsidRDefault="00FA4089" w:rsidP="00FA4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6F36A1" w14:textId="77777777" w:rsidR="00FA4089" w:rsidRPr="008E05F9" w:rsidRDefault="00FA4089" w:rsidP="00FA4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spotkań informacyjno-konsultacyjnych z mieszkańcami/ podmiotami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8F909C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AB8D82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609016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425,00%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84905B" w14:textId="35D2C4CA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18"/>
                <w:szCs w:val="18"/>
                <w:lang w:eastAsia="pl-PL"/>
              </w:rPr>
            </w:pPr>
            <w:r w:rsidRPr="00FA4089">
              <w:rPr>
                <w:sz w:val="18"/>
                <w:szCs w:val="18"/>
              </w:rPr>
              <w:t>421,05%</w:t>
            </w:r>
          </w:p>
        </w:tc>
        <w:tc>
          <w:tcPr>
            <w:tcW w:w="160" w:type="dxa"/>
            <w:vAlign w:val="center"/>
            <w:hideMark/>
          </w:tcPr>
          <w:p w14:paraId="0AA2D046" w14:textId="77777777" w:rsidR="00FA4089" w:rsidRPr="008E05F9" w:rsidRDefault="00FA4089" w:rsidP="00F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089" w:rsidRPr="008E05F9" w14:paraId="0749E261" w14:textId="77777777" w:rsidTr="00FA4089">
        <w:trPr>
          <w:trHeight w:val="2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E7D88B" w14:textId="77777777" w:rsidR="00FA4089" w:rsidRPr="008E05F9" w:rsidRDefault="00FA4089" w:rsidP="00FA4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6B0537" w14:textId="77777777" w:rsidR="00FA4089" w:rsidRPr="008E05F9" w:rsidRDefault="00FA4089" w:rsidP="00FA40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Liczba miesięcy realizacji LSR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B3FC14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DA50BA" w14:textId="77777777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57B1A8" w14:textId="6FC3EDA3" w:rsidR="00FA4089" w:rsidRPr="008E05F9" w:rsidRDefault="00FA4089" w:rsidP="00FA408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  <w:r w:rsidR="00FA509D">
              <w:rPr>
                <w:rFonts w:eastAsia="Times New Roman" w:cstheme="minorHAnsi"/>
                <w:sz w:val="18"/>
                <w:szCs w:val="18"/>
                <w:lang w:eastAsia="pl-PL"/>
              </w:rPr>
              <w:t>,00</w:t>
            </w:r>
            <w:r w:rsidRPr="008E05F9">
              <w:rPr>
                <w:rFonts w:eastAsia="Times New Roman" w:cstheme="min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475BCF" w14:textId="7C69F094" w:rsidR="00FA4089" w:rsidRPr="008E05F9" w:rsidRDefault="00FA509D" w:rsidP="00FA4089">
            <w:pPr>
              <w:spacing w:after="0" w:line="240" w:lineRule="auto"/>
              <w:jc w:val="right"/>
              <w:rPr>
                <w:rFonts w:eastAsia="Times New Roman" w:cstheme="minorHAnsi"/>
                <w:color w:val="C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68</w:t>
            </w:r>
            <w:r w:rsidR="00FA4089" w:rsidRPr="00FA408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75</w:t>
            </w:r>
            <w:r w:rsidR="00FA4089" w:rsidRPr="00FA4089">
              <w:rPr>
                <w:sz w:val="18"/>
                <w:szCs w:val="18"/>
              </w:rPr>
              <w:t>%</w:t>
            </w:r>
          </w:p>
        </w:tc>
        <w:tc>
          <w:tcPr>
            <w:tcW w:w="160" w:type="dxa"/>
            <w:vAlign w:val="center"/>
            <w:hideMark/>
          </w:tcPr>
          <w:p w14:paraId="599A15F9" w14:textId="77777777" w:rsidR="00FA4089" w:rsidRPr="008E05F9" w:rsidRDefault="00FA4089" w:rsidP="00FA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87E4C73" w14:textId="77777777" w:rsidR="004163EF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047ADDE" w14:textId="77777777" w:rsidR="004163EF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>
        <w:rPr>
          <w:color w:val="000000"/>
        </w:rPr>
        <w:t>W wyniku weryfikacji stopnia realizacji wskaźników i ich skonfrontowaniu ze wskazanymi problemami i słabymi stronami (z analizy SWOT) stwierdzono iż przyjęte w LSR wskaźniki produktu i rezultatu są adekwatne do występujących na obszarze LGD słabych stron, które powinny być rozwiązane poprzez projekty wybierane do dofinansowania oraz działania aktywizacyjne LGD.</w:t>
      </w:r>
    </w:p>
    <w:p w14:paraId="38E6128A" w14:textId="3C855774" w:rsidR="004163EF" w:rsidRDefault="004163EF" w:rsidP="004163EF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Wybierane projekty są w pierwszej kolejności zgodne z LSR, zatem muszą prowadzić do osiągania konkretnych wskazanych w danym naborze wskaźników produktu.</w:t>
      </w:r>
    </w:p>
    <w:p w14:paraId="6278E1D8" w14:textId="77777777" w:rsidR="004163EF" w:rsidRPr="00B97AF0" w:rsidRDefault="004163EF" w:rsidP="00016C8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62A9798C" w14:textId="77777777" w:rsidR="004163EF" w:rsidRPr="00DD0549" w:rsidRDefault="004163EF" w:rsidP="004163EF">
      <w:pPr>
        <w:shd w:val="clear" w:color="auto" w:fill="A8D08D" w:themeFill="accent6" w:themeFillTint="99"/>
        <w:autoSpaceDE w:val="0"/>
        <w:autoSpaceDN w:val="0"/>
        <w:adjustRightInd w:val="0"/>
        <w:spacing w:line="240" w:lineRule="auto"/>
        <w:rPr>
          <w:caps/>
          <w:color w:val="000000"/>
        </w:rPr>
      </w:pPr>
      <w:r w:rsidRPr="00DD0549">
        <w:rPr>
          <w:caps/>
          <w:color w:val="000000"/>
        </w:rPr>
        <w:t>OCENA postrzegania LGD w otoczeniu w tym ocena jawności, demokratyczności działań</w:t>
      </w:r>
    </w:p>
    <w:p w14:paraId="1AA8D265" w14:textId="5C9F3422" w:rsidR="004163EF" w:rsidRDefault="004163EF" w:rsidP="004163EF">
      <w:pPr>
        <w:autoSpaceDE w:val="0"/>
        <w:autoSpaceDN w:val="0"/>
        <w:adjustRightInd w:val="0"/>
        <w:spacing w:line="240" w:lineRule="auto"/>
        <w:jc w:val="both"/>
      </w:pPr>
      <w:r w:rsidRPr="009031D5">
        <w:t xml:space="preserve">Weryfikacji zagadnienia dokonano na podstawie analizy </w:t>
      </w:r>
      <w:r>
        <w:t>przeprowadzonych działań informacyjnych zaplanowanych i zrealizowanych przez LGD na poszczególnych etapach wdrażania LSR. W 202</w:t>
      </w:r>
      <w:r w:rsidR="00FA509D">
        <w:t>2</w:t>
      </w:r>
      <w:r>
        <w:t xml:space="preserve"> r. w Harmonogramie realizacji planu komunikacji przewidziano działania na etapie: przed konkursami, po konkursach, przy zmianie zapisów w LSR i dokumentach powiązanych. Zrealizowano wszystkie zaplanowane działania co zostało potwierdzone w złożonych wnioskach o płatność za 202</w:t>
      </w:r>
      <w:r w:rsidR="00FA509D">
        <w:t>2</w:t>
      </w:r>
      <w:r>
        <w:t xml:space="preserve"> r.</w:t>
      </w:r>
    </w:p>
    <w:p w14:paraId="599C1AB2" w14:textId="77777777" w:rsidR="004163EF" w:rsidRPr="005B3440" w:rsidRDefault="004163EF" w:rsidP="004163EF">
      <w:pPr>
        <w:autoSpaceDE w:val="0"/>
        <w:autoSpaceDN w:val="0"/>
        <w:adjustRightInd w:val="0"/>
        <w:spacing w:line="240" w:lineRule="auto"/>
        <w:jc w:val="both"/>
      </w:pPr>
      <w:r>
        <w:t xml:space="preserve">Wszystkie ogłoszenia o naborach były jawne i podawane terminowo, tak samo informacja o wynikach oceny i wyboru operacji – protokoły z posiedzeń Rady i listy operacji były udostępniane na stronie </w:t>
      </w:r>
      <w:r w:rsidRPr="005B3440">
        <w:t xml:space="preserve">internetowej Podhalańskiej LGD. Wszelkie dokonywane aktualizacje LSR były jawne - poddawane do publicznej wiadomości z możliwością wnoszenia uwag w ramach konsultacji społecznych. </w:t>
      </w:r>
    </w:p>
    <w:p w14:paraId="54B90CBC" w14:textId="77777777" w:rsidR="004163EF" w:rsidRPr="005B3440" w:rsidRDefault="004163EF" w:rsidP="004163EF">
      <w:pPr>
        <w:autoSpaceDE w:val="0"/>
        <w:autoSpaceDN w:val="0"/>
        <w:adjustRightInd w:val="0"/>
        <w:spacing w:line="240" w:lineRule="auto"/>
        <w:jc w:val="both"/>
      </w:pPr>
      <w:r w:rsidRPr="005B3440">
        <w:t>Zaplanowana liczba osób na spotkaniach otwartych i szkoleniach oraz zaplanowane w Harmonogramie terminy realizacji działań zostały osiągnięte. Podobnie przewidywana liczba odbiorców poszczególnych działań komunikacyjnych ze społecznością lokalną.</w:t>
      </w:r>
    </w:p>
    <w:p w14:paraId="5A2A5B9E" w14:textId="6706492E" w:rsidR="004163EF" w:rsidRPr="005B3440" w:rsidRDefault="004163EF" w:rsidP="004163EF">
      <w:pPr>
        <w:autoSpaceDE w:val="0"/>
        <w:autoSpaceDN w:val="0"/>
        <w:adjustRightInd w:val="0"/>
        <w:spacing w:line="240" w:lineRule="auto"/>
      </w:pPr>
      <w:r w:rsidRPr="005B3440">
        <w:t>W 202</w:t>
      </w:r>
      <w:r w:rsidR="006C111E">
        <w:t>2</w:t>
      </w:r>
      <w:r w:rsidRPr="005B3440">
        <w:t>r. zrealizowano zgodnie z Harmonogramem planu komunikacji następujące działania 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6"/>
        <w:gridCol w:w="2037"/>
        <w:gridCol w:w="4970"/>
      </w:tblGrid>
      <w:tr w:rsidR="0030756F" w:rsidRPr="007817DF" w14:paraId="72B3C68B" w14:textId="77777777" w:rsidTr="0030756F">
        <w:trPr>
          <w:trHeight w:val="383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260995A4" w14:textId="77777777" w:rsidR="004163EF" w:rsidRPr="00FE256D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E25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8BE74DE" w14:textId="77777777" w:rsidR="004163EF" w:rsidRPr="00FE256D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E25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działania komunikacyjnego</w:t>
            </w:r>
          </w:p>
        </w:tc>
        <w:tc>
          <w:tcPr>
            <w:tcW w:w="203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1D963CA5" w14:textId="77777777" w:rsidR="004163EF" w:rsidRPr="00FE256D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E25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49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27A1512C" w14:textId="77777777" w:rsidR="004163EF" w:rsidRPr="00FE256D" w:rsidRDefault="004163EF" w:rsidP="00EC48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E256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Termin realizacji [godzina, dzień, miesiąc ]</w:t>
            </w:r>
          </w:p>
        </w:tc>
      </w:tr>
      <w:tr w:rsidR="0030756F" w:rsidRPr="007817DF" w14:paraId="7F636EE5" w14:textId="77777777" w:rsidTr="0030756F">
        <w:trPr>
          <w:trHeight w:val="1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D4C039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DF431D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Informacja na stronie internetowej LGD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1EABD7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strona www.podhalanska.pl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B33E22" w14:textId="77777777" w:rsidR="004163EF" w:rsidRPr="00FE256D" w:rsidRDefault="004163EF" w:rsidP="00EC48B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Ogłoszenie o naborze: zgodnie z art.. 19 ust. 3 Ustawy o rozwoju lokalnym z udziałem lokalnej społeczności: nie wcześniej niż 30 dni i nie później niż 14 dni przed planowanym terminem rozpoczęcia biegu terminu składania wniosków. Informacja o wynikach oceny: w terminie 7 dni od dnia zakończenia wyboru operacji. Informacja przy zmianie zapisów w LSR - w miarę potrzeb zgodnie z procedurą zmiany LSR i kryteriów</w:t>
            </w:r>
          </w:p>
        </w:tc>
      </w:tr>
      <w:tr w:rsidR="0030756F" w:rsidRPr="007817DF" w14:paraId="70148560" w14:textId="77777777" w:rsidTr="0030756F">
        <w:trPr>
          <w:trHeight w:val="12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5183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CE0F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Informacja na stronach internetowych urzędów gmin z linkiem do www LGD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526" w14:textId="43A43839" w:rsidR="0030756F" w:rsidRDefault="004163EF" w:rsidP="00EC48B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www.czarny-dunajec.pl, </w:t>
            </w:r>
            <w:hyperlink r:id="rId8" w:history="1">
              <w:r w:rsidR="0030756F" w:rsidRPr="005D039B">
                <w:rPr>
                  <w:rStyle w:val="Hipercze"/>
                  <w:rFonts w:cstheme="minorHAnsi"/>
                  <w:sz w:val="18"/>
                  <w:szCs w:val="18"/>
                </w:rPr>
                <w:t>www.dunajec.net,/</w:t>
              </w:r>
              <w:r w:rsidR="0030756F" w:rsidRPr="005D039B">
                <w:rPr>
                  <w:rStyle w:val="Hipercze"/>
                  <w:rFonts w:cstheme="minorHAnsi"/>
                  <w:sz w:val="18"/>
                  <w:szCs w:val="18"/>
                </w:rPr>
                <w:br/>
                <w:t>www</w:t>
              </w:r>
            </w:hyperlink>
            <w:r w:rsidR="0030756F">
              <w:rPr>
                <w:rFonts w:cstheme="minorHAnsi"/>
                <w:color w:val="000000"/>
                <w:sz w:val="18"/>
                <w:szCs w:val="18"/>
              </w:rPr>
              <w:t>.bialydunajec.com.pl</w:t>
            </w:r>
          </w:p>
          <w:p w14:paraId="4C76C328" w14:textId="7134E725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www.gminakoscielisko.pl, www.poronin.pl, www.szaflary.pl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7BC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Przed planowanym terminem rozpoczęcia biegu terminu składania wniosków</w:t>
            </w:r>
          </w:p>
        </w:tc>
      </w:tr>
      <w:tr w:rsidR="0030756F" w:rsidRPr="007817DF" w14:paraId="69EB837F" w14:textId="77777777" w:rsidTr="0030756F">
        <w:trPr>
          <w:trHeight w:val="17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4DA8EA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55FF48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Ogłoszenia na tablicy informacyjnej w siedzibie LGD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2F6B09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biuro PLGD:  Szaflary, ul. Orkana 37c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2A181B" w14:textId="77777777" w:rsidR="004163EF" w:rsidRPr="00FE256D" w:rsidRDefault="004163EF" w:rsidP="00EC48B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Ogłoszenie o naborze - zgodnie z art.. 19 ust. 3 Ustawy o rozwoju lokalnym z udziałem lokalnej społeczności: nie wcześniej niż 30 dni i nie później niż 14 dni przed planowanym terminem rozpoczęcia biegu terminu składania wniosków.  Wyniki oceny(protokół z oceny i wyboru operacji) - w terminie 7 dni od dnia zakończenia wyboru operacji.   Informacje o zmianie zapisów w LSR - w miarę potrzeb zgodnie z procedurą zmiany LSR i kryteriów</w:t>
            </w:r>
          </w:p>
        </w:tc>
      </w:tr>
      <w:tr w:rsidR="0030756F" w:rsidRPr="007817DF" w14:paraId="06ECA024" w14:textId="77777777" w:rsidTr="0030756F">
        <w:trPr>
          <w:trHeight w:val="130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881E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4C0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Ogłoszenia na tablicach informacyjnych w siedzibach Urzędów Gminy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903F" w14:textId="0E0DB522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UG Czarny Dunajec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>UG Biały Dunajec,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>UG Kościelisko,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>UG Poronin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UG Szaflary, 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9C87" w14:textId="77777777" w:rsidR="004163EF" w:rsidRPr="00FE256D" w:rsidRDefault="004163EF" w:rsidP="00EC48B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przed planowanym terminem rozpoczęcia biegu terminu składania wniosków</w:t>
            </w:r>
          </w:p>
        </w:tc>
      </w:tr>
      <w:tr w:rsidR="0030756F" w:rsidRPr="007817DF" w14:paraId="093C481F" w14:textId="77777777" w:rsidTr="0030756F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C8484A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8A161A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Newsletter – wysłanie informacji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7EA767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poczta elektroniczna PLGD: info@podhalanska.pl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E910F4" w14:textId="4609FF9F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Pr="00FE256D"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FE256D">
              <w:rPr>
                <w:rFonts w:cstheme="minorHAnsi"/>
                <w:color w:val="000000" w:themeColor="text1"/>
                <w:sz w:val="18"/>
                <w:szCs w:val="18"/>
              </w:rPr>
              <w:t xml:space="preserve"> II półrocze 202</w:t>
            </w:r>
            <w:r w:rsidR="0030756F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FE256D">
              <w:rPr>
                <w:rFonts w:cstheme="minorHAnsi"/>
                <w:color w:val="000000" w:themeColor="text1"/>
                <w:sz w:val="18"/>
                <w:szCs w:val="18"/>
              </w:rPr>
              <w:t xml:space="preserve"> r.</w:t>
            </w:r>
          </w:p>
        </w:tc>
      </w:tr>
      <w:tr w:rsidR="0030756F" w:rsidRPr="007817DF" w14:paraId="1F01B517" w14:textId="77777777" w:rsidTr="0030756F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7AE4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E6B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Informacja na profilu LGD na portalu społecznościowym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6CC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profil PLGD na portalu społecznościowym Facebook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78D" w14:textId="2858650C" w:rsidR="004163EF" w:rsidRPr="00FE256D" w:rsidRDefault="004163EF" w:rsidP="00EC48B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Informacja przed konkursem - przed rozpoczęciem przyjmowania wniosków </w:t>
            </w:r>
            <w:r w:rsidR="0030756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 I</w:t>
            </w:r>
            <w:r w:rsidR="0030756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756F">
              <w:rPr>
                <w:rFonts w:cstheme="minorHAnsi"/>
                <w:color w:val="000000"/>
                <w:sz w:val="18"/>
                <w:szCs w:val="18"/>
              </w:rPr>
              <w:t>i</w:t>
            </w:r>
            <w:proofErr w:type="spellEnd"/>
            <w:r w:rsidR="0030756F">
              <w:rPr>
                <w:rFonts w:cstheme="minorHAnsi"/>
                <w:color w:val="000000"/>
                <w:sz w:val="18"/>
                <w:szCs w:val="18"/>
              </w:rPr>
              <w:t xml:space="preserve"> II</w:t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 półrocze 202</w:t>
            </w:r>
            <w:r w:rsidR="0030756F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. Informacja o zmianie zapisów w LSR i dokumentach powiązanych - w miarę potrzeb  zgodnie z procedurą aktualizacji LSR i dokumentów powiązanych. </w:t>
            </w:r>
          </w:p>
        </w:tc>
      </w:tr>
      <w:tr w:rsidR="0030756F" w:rsidRPr="007817DF" w14:paraId="7556BBFA" w14:textId="77777777" w:rsidTr="0030756F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8CF72B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F2EEDB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Ulotka informacyjna dystrybuowana na obszarze LGD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C23746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 w:themeColor="text1"/>
                <w:sz w:val="18"/>
                <w:szCs w:val="18"/>
              </w:rPr>
              <w:t>Obszar PLGD, siedziby instytucji użyteczności publicznej na obszarze PLGD oraz w biurze PLGD.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CF720B" w14:textId="65F4DD5B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Pr="00FE256D"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FE256D">
              <w:rPr>
                <w:rFonts w:cstheme="minorHAnsi"/>
                <w:color w:val="000000" w:themeColor="text1"/>
                <w:sz w:val="18"/>
                <w:szCs w:val="18"/>
              </w:rPr>
              <w:t xml:space="preserve"> II półrocze 202</w:t>
            </w:r>
            <w:r w:rsidR="0030756F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FE256D">
              <w:rPr>
                <w:rFonts w:cstheme="minorHAnsi"/>
                <w:color w:val="000000" w:themeColor="text1"/>
                <w:sz w:val="18"/>
                <w:szCs w:val="18"/>
              </w:rPr>
              <w:t xml:space="preserve"> r.</w:t>
            </w:r>
          </w:p>
        </w:tc>
      </w:tr>
      <w:tr w:rsidR="0030756F" w:rsidRPr="007817DF" w14:paraId="0A2045CA" w14:textId="77777777" w:rsidTr="0030756F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790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FEF7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Informacja i doradztwo w siedzibie LGD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006D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biuro PLGD:  Szaflary, </w:t>
            </w:r>
            <w:proofErr w:type="spellStart"/>
            <w:r w:rsidRPr="00FE256D">
              <w:rPr>
                <w:rFonts w:cstheme="minorHAnsi"/>
                <w:color w:val="000000"/>
                <w:sz w:val="18"/>
                <w:szCs w:val="18"/>
              </w:rPr>
              <w:t>ul.Orkana</w:t>
            </w:r>
            <w:proofErr w:type="spellEnd"/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 37c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465E" w14:textId="1A1F548A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E256D">
              <w:rPr>
                <w:rFonts w:cstheme="minorHAnsi"/>
                <w:color w:val="000000"/>
                <w:sz w:val="18"/>
                <w:szCs w:val="18"/>
              </w:rPr>
              <w:t>i</w:t>
            </w:r>
            <w:proofErr w:type="spellEnd"/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 II półrocze 202</w:t>
            </w:r>
            <w:r w:rsidR="0030756F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 r.</w:t>
            </w:r>
          </w:p>
        </w:tc>
      </w:tr>
      <w:tr w:rsidR="0030756F" w:rsidRPr="007817DF" w14:paraId="539E0697" w14:textId="77777777" w:rsidTr="0030756F">
        <w:trPr>
          <w:trHeight w:val="17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220E5B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8D86D6" w14:textId="247DF13E" w:rsidR="004163EF" w:rsidRPr="00FE256D" w:rsidRDefault="0030756F" w:rsidP="00EC48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0756F">
              <w:rPr>
                <w:rFonts w:cstheme="minorHAnsi"/>
                <w:color w:val="000000"/>
                <w:sz w:val="18"/>
                <w:szCs w:val="18"/>
              </w:rPr>
              <w:t>Prezentacja informacji podczas wydarzeń na obszarze LGD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7A880B" w14:textId="49F7A078" w:rsidR="004163EF" w:rsidRPr="001173D6" w:rsidRDefault="0030756F" w:rsidP="00EC48B7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Obszar PLGD: Biały Dunajec, Poronin</w:t>
            </w:r>
            <w:r w:rsidR="004163EF" w:rsidRPr="001173D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AE7CC2" w14:textId="77777777" w:rsidR="0030756F" w:rsidRPr="0030756F" w:rsidRDefault="0030756F" w:rsidP="0030756F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6F">
              <w:rPr>
                <w:rFonts w:cstheme="minorHAnsi"/>
                <w:color w:val="000000" w:themeColor="text1"/>
                <w:sz w:val="18"/>
                <w:szCs w:val="18"/>
              </w:rPr>
              <w:t xml:space="preserve">"II półrocze 2022 r.: </w:t>
            </w:r>
          </w:p>
          <w:p w14:paraId="3BF4FB2A" w14:textId="77777777" w:rsidR="0030756F" w:rsidRPr="0030756F" w:rsidRDefault="0030756F" w:rsidP="0030756F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6F">
              <w:rPr>
                <w:rFonts w:cstheme="minorHAnsi"/>
                <w:color w:val="000000" w:themeColor="text1"/>
                <w:sz w:val="18"/>
                <w:szCs w:val="18"/>
              </w:rPr>
              <w:t xml:space="preserve">10.07.2022 (godz.11:00 - rozpoczęcie, zakończenie około 22:00) - Dunajeckie Granie w Białym </w:t>
            </w:r>
            <w:proofErr w:type="spellStart"/>
            <w:r w:rsidRPr="0030756F">
              <w:rPr>
                <w:rFonts w:cstheme="minorHAnsi"/>
                <w:color w:val="000000" w:themeColor="text1"/>
                <w:sz w:val="18"/>
                <w:szCs w:val="18"/>
              </w:rPr>
              <w:t>Dunajecu</w:t>
            </w:r>
            <w:proofErr w:type="spellEnd"/>
            <w:r w:rsidRPr="0030756F">
              <w:rPr>
                <w:rFonts w:cstheme="minorHAnsi"/>
                <w:color w:val="000000" w:themeColor="text1"/>
                <w:sz w:val="18"/>
                <w:szCs w:val="18"/>
              </w:rPr>
              <w:t xml:space="preserve">;   </w:t>
            </w:r>
          </w:p>
          <w:p w14:paraId="40545F30" w14:textId="77777777" w:rsidR="0030756F" w:rsidRPr="0030756F" w:rsidRDefault="0030756F" w:rsidP="0030756F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6F">
              <w:rPr>
                <w:rFonts w:cstheme="minorHAnsi"/>
                <w:color w:val="000000" w:themeColor="text1"/>
                <w:sz w:val="18"/>
                <w:szCs w:val="18"/>
              </w:rPr>
              <w:t xml:space="preserve">21.08.2022 (godz. 13:00 - uroczyste otwarcie, zakończenie około 22:00) - Dzień Misia Bartników i Miodu w Poroninie;    </w:t>
            </w:r>
          </w:p>
          <w:p w14:paraId="708FB19F" w14:textId="7FD4819C" w:rsidR="004163EF" w:rsidRPr="001173D6" w:rsidRDefault="0030756F" w:rsidP="0030756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0756F">
              <w:rPr>
                <w:rFonts w:cstheme="minorHAnsi"/>
                <w:color w:val="000000" w:themeColor="text1"/>
                <w:sz w:val="18"/>
                <w:szCs w:val="18"/>
              </w:rPr>
              <w:t>16.10.2022  (godz. 9:30 - podsumowanie, festiwalu, wręczenie nagród) - Festiwal Papieski w Białym Dunajcu"</w:t>
            </w:r>
          </w:p>
        </w:tc>
      </w:tr>
      <w:tr w:rsidR="0030756F" w:rsidRPr="007817DF" w14:paraId="5C6989C1" w14:textId="77777777" w:rsidTr="0030756F">
        <w:trPr>
          <w:trHeight w:val="12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A2FF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02B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sz w:val="18"/>
                <w:szCs w:val="18"/>
              </w:rPr>
              <w:t>Ankiety oceniające poziom zadowolenia z działań informacyjnych i doradczych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FB18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sz w:val="18"/>
                <w:szCs w:val="18"/>
              </w:rPr>
              <w:t>biuro PLGD:  Szaflary, ul.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256D">
              <w:rPr>
                <w:rFonts w:cstheme="minorHAnsi"/>
                <w:sz w:val="18"/>
                <w:szCs w:val="18"/>
              </w:rPr>
              <w:t>Orkana 37c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8769" w14:textId="5ADE6385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sz w:val="18"/>
                <w:szCs w:val="18"/>
              </w:rPr>
              <w:t>ankiety - przyjmowane na bieżąco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256D">
              <w:rPr>
                <w:rFonts w:cstheme="minorHAnsi"/>
                <w:sz w:val="18"/>
                <w:szCs w:val="18"/>
              </w:rPr>
              <w:t>-z doradztwa, lub po danym dział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FE256D">
              <w:rPr>
                <w:rFonts w:cstheme="minorHAnsi"/>
                <w:sz w:val="18"/>
                <w:szCs w:val="18"/>
              </w:rPr>
              <w:t>niu informacyjnym. Raporty roczne z ankiet za rok poprzedni (202</w:t>
            </w:r>
            <w:r w:rsidR="0030756F">
              <w:rPr>
                <w:rFonts w:cstheme="minorHAnsi"/>
                <w:sz w:val="18"/>
                <w:szCs w:val="18"/>
              </w:rPr>
              <w:t>1</w:t>
            </w:r>
            <w:r w:rsidRPr="00FE256D">
              <w:rPr>
                <w:rFonts w:cstheme="minorHAnsi"/>
                <w:sz w:val="18"/>
                <w:szCs w:val="18"/>
              </w:rPr>
              <w:t>) - sporządzane w pierwszym kwartale 202</w:t>
            </w:r>
            <w:r w:rsidR="0030756F">
              <w:rPr>
                <w:rFonts w:cstheme="minorHAnsi"/>
                <w:sz w:val="18"/>
                <w:szCs w:val="18"/>
              </w:rPr>
              <w:t>2</w:t>
            </w:r>
            <w:r w:rsidRPr="00FE256D">
              <w:rPr>
                <w:rFonts w:cstheme="minorHAnsi"/>
                <w:sz w:val="18"/>
                <w:szCs w:val="18"/>
              </w:rPr>
              <w:t xml:space="preserve"> r.</w:t>
            </w:r>
          </w:p>
        </w:tc>
      </w:tr>
      <w:tr w:rsidR="0030756F" w:rsidRPr="007817DF" w14:paraId="38D2094E" w14:textId="77777777" w:rsidTr="0030756F">
        <w:trPr>
          <w:trHeight w:val="1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D69D4F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5DC4A0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sz w:val="18"/>
                <w:szCs w:val="18"/>
              </w:rPr>
              <w:t xml:space="preserve">Kontakt poprzez rozmowę telefoniczną, komunikator na </w:t>
            </w:r>
            <w:proofErr w:type="spellStart"/>
            <w:r w:rsidRPr="00FE256D">
              <w:rPr>
                <w:rFonts w:cstheme="minorHAnsi"/>
                <w:sz w:val="18"/>
                <w:szCs w:val="18"/>
              </w:rPr>
              <w:t>fanpageu</w:t>
            </w:r>
            <w:proofErr w:type="spellEnd"/>
            <w:r w:rsidRPr="00FE256D">
              <w:rPr>
                <w:rFonts w:cstheme="minorHAnsi"/>
                <w:sz w:val="18"/>
                <w:szCs w:val="18"/>
              </w:rPr>
              <w:t xml:space="preserve"> LGD na portalu społecznościowym, poprzez funkcję chatu „online” na stronie internetowej, poprzez wiadomość e-mail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4D21AA" w14:textId="77777777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sz w:val="18"/>
                <w:szCs w:val="18"/>
              </w:rPr>
              <w:t xml:space="preserve">biuro PLGD: Szaflary, </w:t>
            </w:r>
            <w:proofErr w:type="spellStart"/>
            <w:r w:rsidRPr="00FE256D">
              <w:rPr>
                <w:rFonts w:cstheme="minorHAnsi"/>
                <w:sz w:val="18"/>
                <w:szCs w:val="18"/>
              </w:rPr>
              <w:t>ul.Orkana</w:t>
            </w:r>
            <w:proofErr w:type="spellEnd"/>
            <w:r w:rsidRPr="00FE256D">
              <w:rPr>
                <w:rFonts w:cstheme="minorHAnsi"/>
                <w:sz w:val="18"/>
                <w:szCs w:val="18"/>
              </w:rPr>
              <w:t xml:space="preserve"> 37c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11540B" w14:textId="3B9A0DF5" w:rsidR="004163EF" w:rsidRPr="00FE256D" w:rsidRDefault="004163EF" w:rsidP="00EC48B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sz w:val="18"/>
                <w:szCs w:val="18"/>
              </w:rPr>
              <w:t xml:space="preserve">I </w:t>
            </w:r>
            <w:proofErr w:type="spellStart"/>
            <w:r w:rsidRPr="00FE256D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E256D">
              <w:rPr>
                <w:rFonts w:cstheme="minorHAnsi"/>
                <w:sz w:val="18"/>
                <w:szCs w:val="18"/>
              </w:rPr>
              <w:t xml:space="preserve"> II półrocze 202</w:t>
            </w:r>
            <w:r w:rsidR="0030756F">
              <w:rPr>
                <w:rFonts w:cstheme="minorHAnsi"/>
                <w:sz w:val="18"/>
                <w:szCs w:val="18"/>
              </w:rPr>
              <w:t>2</w:t>
            </w:r>
            <w:r w:rsidRPr="00FE256D">
              <w:rPr>
                <w:rFonts w:cstheme="minorHAnsi"/>
                <w:sz w:val="18"/>
                <w:szCs w:val="18"/>
              </w:rPr>
              <w:t xml:space="preserve"> r.</w:t>
            </w:r>
          </w:p>
        </w:tc>
      </w:tr>
      <w:tr w:rsidR="0030756F" w:rsidRPr="007817DF" w14:paraId="7FEB35D9" w14:textId="77777777" w:rsidTr="0030756F">
        <w:trPr>
          <w:trHeight w:val="7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D0F9" w14:textId="77777777" w:rsidR="0030756F" w:rsidRPr="00FE256D" w:rsidRDefault="0030756F" w:rsidP="00307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BFEA" w14:textId="0BCEEB1F" w:rsidR="0030756F" w:rsidRPr="001173D6" w:rsidRDefault="0030756F" w:rsidP="0030756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Szkolenie dla potencjalnych beneficjentów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5DBC" w14:textId="6036CDF2" w:rsidR="0030756F" w:rsidRPr="001173D6" w:rsidRDefault="0030756F" w:rsidP="0030756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Biuro PLGD: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>Szaflary, 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>Orkana 37c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361" w14:textId="77777777" w:rsidR="0030756F" w:rsidRPr="0030756F" w:rsidRDefault="0030756F" w:rsidP="0030756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756F">
              <w:rPr>
                <w:rFonts w:cstheme="minorHAnsi"/>
                <w:sz w:val="18"/>
                <w:szCs w:val="18"/>
              </w:rPr>
              <w:t>10.01.2022 r. godz. 14:00 przed konkursami w styczniu;</w:t>
            </w:r>
          </w:p>
          <w:p w14:paraId="12764A4E" w14:textId="77777777" w:rsidR="0030756F" w:rsidRPr="0030756F" w:rsidRDefault="0030756F" w:rsidP="0030756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756F">
              <w:rPr>
                <w:rFonts w:cstheme="minorHAnsi"/>
                <w:sz w:val="18"/>
                <w:szCs w:val="18"/>
              </w:rPr>
              <w:t>12.05.2022 r. godz. 14:00 przed konkursami</w:t>
            </w:r>
          </w:p>
          <w:p w14:paraId="5F0D528C" w14:textId="77777777" w:rsidR="0030756F" w:rsidRPr="0030756F" w:rsidRDefault="0030756F" w:rsidP="0030756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756F">
              <w:rPr>
                <w:rFonts w:cstheme="minorHAnsi"/>
                <w:sz w:val="18"/>
                <w:szCs w:val="18"/>
              </w:rPr>
              <w:t>23.08.2022 r. godz. 14:00 przed konkursami we wrześniu</w:t>
            </w:r>
          </w:p>
          <w:p w14:paraId="04565AEF" w14:textId="1D24B840" w:rsidR="0030756F" w:rsidRPr="001173D6" w:rsidRDefault="0030756F" w:rsidP="0030756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30756F">
              <w:rPr>
                <w:rFonts w:cstheme="minorHAnsi"/>
                <w:sz w:val="18"/>
                <w:szCs w:val="18"/>
              </w:rPr>
              <w:t>21.12.2022 r. godz. 14:00 przed konkursami w styczniu</w:t>
            </w:r>
          </w:p>
        </w:tc>
      </w:tr>
      <w:tr w:rsidR="0030756F" w:rsidRPr="007817DF" w14:paraId="78BAB50A" w14:textId="77777777" w:rsidTr="0030756F">
        <w:trPr>
          <w:trHeight w:val="7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7DBA6B" w14:textId="77777777" w:rsidR="0030756F" w:rsidRPr="00FE256D" w:rsidRDefault="0030756F" w:rsidP="003075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E256D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658CFC" w14:textId="65609619" w:rsidR="0030756F" w:rsidRPr="00FE256D" w:rsidRDefault="0030756F" w:rsidP="00307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Ankieta elektroniczna rozsyłana na adresy e-mail wnioskodawców.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DE91F6" w14:textId="456B17AC" w:rsidR="0030756F" w:rsidRPr="00FE256D" w:rsidRDefault="0030756F" w:rsidP="00307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>poczta elektroniczna PLGD: info@podhalanska.pl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349EBE" w14:textId="3877EC1D" w:rsidR="0030756F" w:rsidRPr="00FE256D" w:rsidRDefault="0030756F" w:rsidP="00307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Po zakończeniu realizacji i rozliczeniu poszczególnych operacji - na bieżąco I </w:t>
            </w:r>
            <w:proofErr w:type="spellStart"/>
            <w:r w:rsidRPr="00FE256D">
              <w:rPr>
                <w:rFonts w:cstheme="minorHAnsi"/>
                <w:color w:val="000000"/>
                <w:sz w:val="18"/>
                <w:szCs w:val="18"/>
              </w:rPr>
              <w:t>i</w:t>
            </w:r>
            <w:proofErr w:type="spellEnd"/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 II półrocze 202</w:t>
            </w: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FE256D">
              <w:rPr>
                <w:rFonts w:cstheme="minorHAnsi"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5E03FBA9" w14:textId="77777777" w:rsidR="004163EF" w:rsidRDefault="004163EF" w:rsidP="004163EF">
      <w:pPr>
        <w:autoSpaceDE w:val="0"/>
        <w:autoSpaceDN w:val="0"/>
        <w:adjustRightInd w:val="0"/>
        <w:spacing w:line="240" w:lineRule="auto"/>
        <w:jc w:val="both"/>
      </w:pPr>
    </w:p>
    <w:p w14:paraId="59DA6BBE" w14:textId="61893453" w:rsidR="004163EF" w:rsidRDefault="004163EF" w:rsidP="004163EF">
      <w:pPr>
        <w:autoSpaceDE w:val="0"/>
        <w:autoSpaceDN w:val="0"/>
        <w:adjustRightInd w:val="0"/>
        <w:spacing w:line="240" w:lineRule="auto"/>
        <w:jc w:val="both"/>
      </w:pPr>
      <w:r>
        <w:t>B</w:t>
      </w:r>
      <w:r w:rsidRPr="009031D5">
        <w:t>iuro LGD prowadzi monitoring prowadzonych działań doradczych i działań z zakresu animacji</w:t>
      </w:r>
      <w:r>
        <w:t xml:space="preserve"> społeczności</w:t>
      </w:r>
      <w:r w:rsidRPr="009031D5">
        <w:t xml:space="preserve"> lokalnej. Wyniki ewaluacji wewnętrznej tych działań (raport </w:t>
      </w:r>
      <w:r>
        <w:t>opracowany w I kwartale 202</w:t>
      </w:r>
      <w:r w:rsidR="0030756F">
        <w:t>2</w:t>
      </w:r>
      <w:r>
        <w:t xml:space="preserve"> r. </w:t>
      </w:r>
      <w:r w:rsidRPr="009031D5">
        <w:t>na podstawie ankiet</w:t>
      </w:r>
      <w:r>
        <w:t xml:space="preserve"> zebranych po doradztwie i spotkaniach w roku poprzednim</w:t>
      </w:r>
      <w:r w:rsidRPr="009031D5">
        <w:t>) pokazują pozytywny odbiór działań informacyjno-doradczych prowadzonych przez LGD.</w:t>
      </w:r>
    </w:p>
    <w:p w14:paraId="2B6440B3" w14:textId="404EE8F7" w:rsidR="004163EF" w:rsidRDefault="004163EF" w:rsidP="004163EF">
      <w:pPr>
        <w:autoSpaceDE w:val="0"/>
        <w:autoSpaceDN w:val="0"/>
        <w:adjustRightInd w:val="0"/>
        <w:spacing w:line="240" w:lineRule="auto"/>
        <w:jc w:val="both"/>
      </w:pPr>
      <w:r>
        <w:t>Ponadto w</w:t>
      </w:r>
      <w:r w:rsidRPr="009031D5">
        <w:t xml:space="preserve">edług </w:t>
      </w:r>
      <w:r>
        <w:t>przeprowadzonych rozmów</w:t>
      </w:r>
      <w:r w:rsidRPr="009031D5">
        <w:t xml:space="preserve"> wśród osób, które potwierdziły znajomość struktur LGD</w:t>
      </w:r>
      <w:r>
        <w:t xml:space="preserve"> (członkowie LGD, członkowie organów LGD, przedstawiciele </w:t>
      </w:r>
      <w:proofErr w:type="spellStart"/>
      <w:r>
        <w:t>jst</w:t>
      </w:r>
      <w:proofErr w:type="spellEnd"/>
      <w:r>
        <w:t xml:space="preserve">), działania LGD </w:t>
      </w:r>
      <w:r w:rsidRPr="009031D5">
        <w:t>w zakresie inform</w:t>
      </w:r>
      <w:r>
        <w:t>owania o realizowanych przedsięwzięciach i stopniu wdrażania LSR oraz</w:t>
      </w:r>
      <w:r w:rsidRPr="009031D5">
        <w:t xml:space="preserve"> jawnoś</w:t>
      </w:r>
      <w:r>
        <w:t>ć</w:t>
      </w:r>
      <w:r w:rsidRPr="009031D5">
        <w:t xml:space="preserve"> dokumentacji i demokratycznoś</w:t>
      </w:r>
      <w:r>
        <w:t>ć</w:t>
      </w:r>
      <w:r w:rsidRPr="009031D5">
        <w:t xml:space="preserve"> działań są oceniane pozytywnie.</w:t>
      </w:r>
    </w:p>
    <w:p w14:paraId="2E4C262C" w14:textId="77777777" w:rsidR="00736C91" w:rsidRDefault="00736C91" w:rsidP="004163EF">
      <w:pPr>
        <w:autoSpaceDE w:val="0"/>
        <w:autoSpaceDN w:val="0"/>
        <w:adjustRightInd w:val="0"/>
        <w:spacing w:line="240" w:lineRule="auto"/>
        <w:jc w:val="both"/>
      </w:pPr>
    </w:p>
    <w:p w14:paraId="5FB7822F" w14:textId="00D77484" w:rsidR="004163EF" w:rsidRPr="00DD0549" w:rsidRDefault="004163EF" w:rsidP="004163EF">
      <w:pPr>
        <w:shd w:val="clear" w:color="auto" w:fill="A8D08D" w:themeFill="accent6" w:themeFillTint="99"/>
        <w:autoSpaceDE w:val="0"/>
        <w:autoSpaceDN w:val="0"/>
        <w:adjustRightInd w:val="0"/>
        <w:spacing w:line="240" w:lineRule="auto"/>
        <w:rPr>
          <w:caps/>
          <w:color w:val="000000"/>
        </w:rPr>
      </w:pPr>
      <w:r w:rsidRPr="00DD0549">
        <w:rPr>
          <w:caps/>
          <w:color w:val="000000"/>
        </w:rPr>
        <w:lastRenderedPageBreak/>
        <w:t xml:space="preserve">OCENA innych zjawisk, zdarzeń, dokumentów </w:t>
      </w:r>
    </w:p>
    <w:p w14:paraId="1E0A2A28" w14:textId="2FA4A547" w:rsidR="004163EF" w:rsidRPr="00736C91" w:rsidRDefault="004163EF" w:rsidP="00736C91">
      <w:pPr>
        <w:tabs>
          <w:tab w:val="left" w:pos="282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736C91">
        <w:rPr>
          <w:rFonts w:eastAsia="Calibri" w:cs="Times New Roman"/>
        </w:rPr>
        <w:t>W opinii pracowników biura LGD rok 202</w:t>
      </w:r>
      <w:r w:rsidR="006C111E">
        <w:rPr>
          <w:rFonts w:eastAsia="Calibri" w:cs="Times New Roman"/>
        </w:rPr>
        <w:t>2</w:t>
      </w:r>
      <w:r w:rsidRPr="00736C91">
        <w:rPr>
          <w:rFonts w:eastAsia="Calibri" w:cs="Times New Roman"/>
        </w:rPr>
        <w:t xml:space="preserve"> był bardzo intensywnym</w:t>
      </w:r>
      <w:r w:rsidR="006C111E">
        <w:rPr>
          <w:rFonts w:eastAsia="Calibri" w:cs="Times New Roman"/>
        </w:rPr>
        <w:t>. Rozpoczęto prace nad</w:t>
      </w:r>
      <w:r w:rsidR="00736C91" w:rsidRPr="00736C91">
        <w:rPr>
          <w:rFonts w:eastAsia="Calibri" w:cs="Times New Roman"/>
        </w:rPr>
        <w:t xml:space="preserve"> now</w:t>
      </w:r>
      <w:r w:rsidR="006C111E">
        <w:rPr>
          <w:rFonts w:eastAsia="Calibri" w:cs="Times New Roman"/>
        </w:rPr>
        <w:t xml:space="preserve">ą </w:t>
      </w:r>
      <w:r w:rsidR="00736C91" w:rsidRPr="00736C91">
        <w:rPr>
          <w:rFonts w:eastAsia="Calibri" w:cs="Times New Roman"/>
        </w:rPr>
        <w:t>strategi</w:t>
      </w:r>
      <w:r w:rsidR="006C111E">
        <w:rPr>
          <w:rFonts w:eastAsia="Calibri" w:cs="Times New Roman"/>
        </w:rPr>
        <w:t>ą</w:t>
      </w:r>
      <w:r w:rsidR="00736C91" w:rsidRPr="00736C91">
        <w:rPr>
          <w:rFonts w:eastAsia="Calibri" w:cs="Times New Roman"/>
        </w:rPr>
        <w:t xml:space="preserve"> rozwoju</w:t>
      </w:r>
      <w:r w:rsidRPr="00736C91">
        <w:rPr>
          <w:rFonts w:eastAsia="Calibri" w:cs="Times New Roman"/>
        </w:rPr>
        <w:t xml:space="preserve">. Przeprowadzono </w:t>
      </w:r>
      <w:r w:rsidR="00736C91" w:rsidRPr="00736C91">
        <w:rPr>
          <w:rFonts w:eastAsia="Calibri" w:cs="Times New Roman"/>
        </w:rPr>
        <w:t>4</w:t>
      </w:r>
      <w:r w:rsidRPr="00736C91">
        <w:rPr>
          <w:rFonts w:eastAsia="Calibri" w:cs="Times New Roman"/>
        </w:rPr>
        <w:t xml:space="preserve"> nabor</w:t>
      </w:r>
      <w:r w:rsidR="00736C91" w:rsidRPr="00736C91">
        <w:rPr>
          <w:rFonts w:eastAsia="Calibri" w:cs="Times New Roman"/>
        </w:rPr>
        <w:t>y</w:t>
      </w:r>
      <w:r w:rsidRPr="00736C91">
        <w:rPr>
          <w:rFonts w:eastAsia="Calibri" w:cs="Times New Roman"/>
        </w:rPr>
        <w:t xml:space="preserve"> wniosków, zorganizowano spotka</w:t>
      </w:r>
      <w:r w:rsidR="00736C91" w:rsidRPr="00736C91">
        <w:rPr>
          <w:rFonts w:eastAsia="Calibri" w:cs="Times New Roman"/>
        </w:rPr>
        <w:t>nia</w:t>
      </w:r>
      <w:r w:rsidRPr="00736C91">
        <w:rPr>
          <w:rFonts w:eastAsia="Calibri" w:cs="Times New Roman"/>
        </w:rPr>
        <w:t xml:space="preserve"> skierowan</w:t>
      </w:r>
      <w:r w:rsidR="00736C91" w:rsidRPr="00736C91">
        <w:rPr>
          <w:rFonts w:eastAsia="Calibri" w:cs="Times New Roman"/>
        </w:rPr>
        <w:t>e</w:t>
      </w:r>
      <w:r w:rsidRPr="00736C91">
        <w:rPr>
          <w:rFonts w:eastAsia="Calibri" w:cs="Times New Roman"/>
        </w:rPr>
        <w:t xml:space="preserve"> do mieszkańców. Z doradztwa bezpośrednio w biurze LGD skorzystało </w:t>
      </w:r>
      <w:r w:rsidR="00736C91" w:rsidRPr="00736C91">
        <w:rPr>
          <w:rFonts w:eastAsia="Calibri" w:cs="Times New Roman"/>
        </w:rPr>
        <w:t>30</w:t>
      </w:r>
      <w:r w:rsidRPr="00736C91">
        <w:rPr>
          <w:rFonts w:eastAsia="Calibri" w:cs="Times New Roman"/>
        </w:rPr>
        <w:t xml:space="preserve"> osób, umowy przyznania pomocy podpisało w UMWM </w:t>
      </w:r>
      <w:r w:rsidR="006C111E">
        <w:rPr>
          <w:rFonts w:eastAsia="Calibri" w:cs="Times New Roman"/>
        </w:rPr>
        <w:t>19</w:t>
      </w:r>
      <w:r w:rsidRPr="00736C91">
        <w:rPr>
          <w:rFonts w:eastAsia="Calibri" w:cs="Times New Roman"/>
        </w:rPr>
        <w:t xml:space="preserve"> beneficjentów.</w:t>
      </w:r>
    </w:p>
    <w:p w14:paraId="06FFF549" w14:textId="77777777" w:rsidR="004163EF" w:rsidRPr="00736C91" w:rsidRDefault="004163EF" w:rsidP="00736C91">
      <w:pPr>
        <w:tabs>
          <w:tab w:val="left" w:pos="282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14:paraId="2471A034" w14:textId="77777777" w:rsidR="004163EF" w:rsidRPr="00736C91" w:rsidRDefault="004163EF" w:rsidP="00736C91">
      <w:pPr>
        <w:tabs>
          <w:tab w:val="left" w:pos="282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736C91">
        <w:rPr>
          <w:rFonts w:eastAsia="Calibri" w:cs="Times New Roman"/>
        </w:rPr>
        <w:t>W zakresie funkcjonowania LGD i ubiegania się o środki na działanie biura LGD bardzo pozytywnie można ocenić czas oceny wniosków o płatność w UMWM dzięki czemu LGD ma płynność finansową.</w:t>
      </w:r>
    </w:p>
    <w:p w14:paraId="361BA496" w14:textId="77777777" w:rsidR="004163EF" w:rsidRPr="00736C91" w:rsidRDefault="004163EF" w:rsidP="00736C91">
      <w:pPr>
        <w:tabs>
          <w:tab w:val="left" w:pos="282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14:paraId="4FFAC4B2" w14:textId="0E84DBD2" w:rsidR="00016C88" w:rsidRPr="00736C91" w:rsidRDefault="004163EF" w:rsidP="00736C91">
      <w:pPr>
        <w:jc w:val="both"/>
      </w:pPr>
      <w:r w:rsidRPr="00736C91">
        <w:t xml:space="preserve">Na bieżąco są udostępniane i aktualizowane dokumenty i zestawienia, na stronie </w:t>
      </w:r>
      <w:hyperlink r:id="rId9" w:history="1">
        <w:r w:rsidRPr="00736C91">
          <w:rPr>
            <w:rStyle w:val="Hipercze"/>
            <w:color w:val="auto"/>
          </w:rPr>
          <w:t>www.podhalanska.pl</w:t>
        </w:r>
      </w:hyperlink>
      <w:r w:rsidRPr="00736C91">
        <w:t xml:space="preserve"> do których upublicznienia LGD zobowiązała się w umowie ramowej.</w:t>
      </w:r>
    </w:p>
    <w:p w14:paraId="74659F9A" w14:textId="77777777" w:rsidR="004163EF" w:rsidRPr="00736C91" w:rsidRDefault="004163EF" w:rsidP="00736C91">
      <w:pPr>
        <w:jc w:val="both"/>
      </w:pPr>
      <w:r w:rsidRPr="00736C91">
        <w:t>Za wcześnie jest na analizę osiągnięcia wskaźników rezultatu dla wszystkich przedsięwzięć (poza liczbą miejsc pracy) i wskaźników oddziaływania dlatego też w raporcie nie odniesiono się do nich szczegółowo.</w:t>
      </w:r>
    </w:p>
    <w:p w14:paraId="032D9E6F" w14:textId="4B078651" w:rsidR="00B53AED" w:rsidRDefault="004163EF" w:rsidP="00736C91">
      <w:pPr>
        <w:jc w:val="both"/>
      </w:pPr>
      <w:r w:rsidRPr="00736C91">
        <w:t>202</w:t>
      </w:r>
      <w:r w:rsidR="006C111E">
        <w:t>2</w:t>
      </w:r>
      <w:r w:rsidRPr="00736C91">
        <w:t xml:space="preserve"> r. w dużej mierze został także zaangażowany we współpracę z innymi LGD. Przygotowywano dokumenty i złoż</w:t>
      </w:r>
      <w:r w:rsidR="006C111E">
        <w:t>ono</w:t>
      </w:r>
      <w:r w:rsidRPr="00736C91">
        <w:t xml:space="preserve"> </w:t>
      </w:r>
      <w:r w:rsidR="006C111E">
        <w:t>trzy</w:t>
      </w:r>
      <w:r w:rsidRPr="00736C91">
        <w:t xml:space="preserve"> wniosk</w:t>
      </w:r>
      <w:r w:rsidR="006C111E">
        <w:t>i</w:t>
      </w:r>
      <w:r w:rsidRPr="00736C91">
        <w:t xml:space="preserve"> o przyznanie pomocy w ramach poddziałania działania 19.3.</w:t>
      </w:r>
      <w:r w:rsidRPr="00880161">
        <w:t xml:space="preserve"> </w:t>
      </w:r>
    </w:p>
    <w:sectPr w:rsidR="00B53AED" w:rsidSect="00736C91">
      <w:footerReference w:type="default" r:id="rId10"/>
      <w:pgSz w:w="11906" w:h="16838"/>
      <w:pgMar w:top="70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07FA" w14:textId="77777777" w:rsidR="00B16680" w:rsidRDefault="00B16680" w:rsidP="004163EF">
      <w:pPr>
        <w:spacing w:after="0" w:line="240" w:lineRule="auto"/>
      </w:pPr>
      <w:r>
        <w:separator/>
      </w:r>
    </w:p>
  </w:endnote>
  <w:endnote w:type="continuationSeparator" w:id="0">
    <w:p w14:paraId="4486CCF4" w14:textId="77777777" w:rsidR="00B16680" w:rsidRDefault="00B16680" w:rsidP="0041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AE85" w14:textId="77777777" w:rsidR="00FA4089" w:rsidRDefault="00FA4089" w:rsidP="00FA4089">
    <w:pPr>
      <w:pStyle w:val="Stopka"/>
      <w:jc w:val="center"/>
    </w:pPr>
  </w:p>
  <w:p w14:paraId="3C2DE98F" w14:textId="778C71EE" w:rsidR="00FA4089" w:rsidRDefault="00FA4089" w:rsidP="00FA4089">
    <w:pPr>
      <w:pStyle w:val="Stopka"/>
      <w:jc w:val="center"/>
    </w:pPr>
    <w:r>
      <w:rPr>
        <w:noProof/>
      </w:rPr>
      <w:drawing>
        <wp:inline distT="0" distB="0" distL="0" distR="0" wp14:anchorId="25E93D3E" wp14:editId="61603EAC">
          <wp:extent cx="4110990" cy="497503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635" cy="50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8AB6" w14:textId="77777777" w:rsidR="00B16680" w:rsidRDefault="00B16680" w:rsidP="004163EF">
      <w:pPr>
        <w:spacing w:after="0" w:line="240" w:lineRule="auto"/>
      </w:pPr>
      <w:r>
        <w:separator/>
      </w:r>
    </w:p>
  </w:footnote>
  <w:footnote w:type="continuationSeparator" w:id="0">
    <w:p w14:paraId="6CD23247" w14:textId="77777777" w:rsidR="00B16680" w:rsidRDefault="00B16680" w:rsidP="004163EF">
      <w:pPr>
        <w:spacing w:after="0" w:line="240" w:lineRule="auto"/>
      </w:pPr>
      <w:r>
        <w:continuationSeparator/>
      </w:r>
    </w:p>
  </w:footnote>
  <w:footnote w:id="1">
    <w:p w14:paraId="463015AF" w14:textId="77777777" w:rsidR="004163EF" w:rsidRDefault="004163EF" w:rsidP="004163EF">
      <w:r>
        <w:rPr>
          <w:rStyle w:val="Odwoanieprzypisudolnego"/>
        </w:rPr>
        <w:footnoteRef/>
      </w:r>
      <w:r>
        <w:t xml:space="preserve"> </w:t>
      </w:r>
      <w:r>
        <w:rPr>
          <w:rFonts w:hAnsi="Symbol"/>
        </w:rPr>
        <w:t></w:t>
      </w:r>
      <w:r>
        <w:t xml:space="preserve">  </w:t>
      </w:r>
      <w:hyperlink r:id="rId1" w:tooltip="Poddziałanie 19.2 Wsparcie na wdrażanie operacji w ramach strategii rozwoju lokalnego kierowanego przez społeczność" w:history="1">
        <w:r>
          <w:rPr>
            <w:rStyle w:val="Hipercze"/>
          </w:rPr>
          <w:t>Poddziałanie 19.2 Wsparcie na wdrażanie operacji w ramach strategii rozwoju lokalnego kierowanego przez społeczność</w:t>
        </w:r>
      </w:hyperlink>
    </w:p>
    <w:p w14:paraId="3DBCC666" w14:textId="77777777" w:rsidR="004163EF" w:rsidRDefault="004163EF" w:rsidP="004163EF">
      <w:r>
        <w:rPr>
          <w:rFonts w:hAnsi="Symbol"/>
        </w:rPr>
        <w:t></w:t>
      </w:r>
      <w:r>
        <w:t xml:space="preserve">  </w:t>
      </w:r>
      <w:hyperlink r:id="rId2" w:tooltip="Poddziałanie 19.3 Przygotowanie i realizacja działań w zakresie współpracy z lokalną grupą działania" w:history="1">
        <w:r>
          <w:rPr>
            <w:rStyle w:val="Hipercze"/>
          </w:rPr>
          <w:t>Poddziałanie 19.3 Przygotowanie i realizacja działań w zakresie współpracy z lokalną grupą działania</w:t>
        </w:r>
      </w:hyperlink>
    </w:p>
    <w:p w14:paraId="0E13F925" w14:textId="77777777" w:rsidR="004163EF" w:rsidRDefault="004163EF" w:rsidP="004163EF">
      <w:pPr>
        <w:pStyle w:val="Tekstprzypisudolnego"/>
      </w:pPr>
      <w:r>
        <w:rPr>
          <w:rFonts w:hAnsi="Symbol"/>
        </w:rPr>
        <w:t></w:t>
      </w:r>
      <w:r>
        <w:t xml:space="preserve">  </w:t>
      </w:r>
      <w:hyperlink r:id="rId3" w:tooltip="Poddziałanie 19.4 Wsparcie na rzecz kosztów bieżących i aktywizacji" w:history="1">
        <w:r>
          <w:rPr>
            <w:rStyle w:val="Hipercze"/>
          </w:rPr>
          <w:t>Poddziałanie 19.4 Wsparcie na rzecz kosztów bieżących i aktywizacji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9BC"/>
    <w:multiLevelType w:val="hybridMultilevel"/>
    <w:tmpl w:val="B538AFB0"/>
    <w:lvl w:ilvl="0" w:tplc="46DCD4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643B1"/>
    <w:multiLevelType w:val="hybridMultilevel"/>
    <w:tmpl w:val="4BF8C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AC6"/>
    <w:multiLevelType w:val="hybridMultilevel"/>
    <w:tmpl w:val="0F0CB6A2"/>
    <w:lvl w:ilvl="0" w:tplc="46DC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438"/>
    <w:multiLevelType w:val="hybridMultilevel"/>
    <w:tmpl w:val="5A02923E"/>
    <w:lvl w:ilvl="0" w:tplc="DEFE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E234B"/>
    <w:multiLevelType w:val="hybridMultilevel"/>
    <w:tmpl w:val="74FC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1E8B"/>
    <w:multiLevelType w:val="hybridMultilevel"/>
    <w:tmpl w:val="CE74D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5499"/>
    <w:multiLevelType w:val="hybridMultilevel"/>
    <w:tmpl w:val="90823006"/>
    <w:lvl w:ilvl="0" w:tplc="46DC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683D"/>
    <w:multiLevelType w:val="hybridMultilevel"/>
    <w:tmpl w:val="6916D7A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5703B8B"/>
    <w:multiLevelType w:val="hybridMultilevel"/>
    <w:tmpl w:val="F81E4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21CB"/>
    <w:multiLevelType w:val="hybridMultilevel"/>
    <w:tmpl w:val="2A7A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06724"/>
    <w:multiLevelType w:val="hybridMultilevel"/>
    <w:tmpl w:val="AF3E8FC4"/>
    <w:lvl w:ilvl="0" w:tplc="57048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0624"/>
    <w:multiLevelType w:val="hybridMultilevel"/>
    <w:tmpl w:val="7746422C"/>
    <w:lvl w:ilvl="0" w:tplc="46DCD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887471"/>
    <w:multiLevelType w:val="hybridMultilevel"/>
    <w:tmpl w:val="BA0AC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46E0B"/>
    <w:multiLevelType w:val="hybridMultilevel"/>
    <w:tmpl w:val="A6602614"/>
    <w:lvl w:ilvl="0" w:tplc="46DCD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12751"/>
    <w:multiLevelType w:val="hybridMultilevel"/>
    <w:tmpl w:val="0B44A528"/>
    <w:lvl w:ilvl="0" w:tplc="9DF8A0B0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0A2671C"/>
    <w:multiLevelType w:val="hybridMultilevel"/>
    <w:tmpl w:val="118A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D2F58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D4019"/>
    <w:multiLevelType w:val="hybridMultilevel"/>
    <w:tmpl w:val="7DF0E242"/>
    <w:lvl w:ilvl="0" w:tplc="EBC0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03F60"/>
    <w:multiLevelType w:val="hybridMultilevel"/>
    <w:tmpl w:val="A7B43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C39C9"/>
    <w:multiLevelType w:val="hybridMultilevel"/>
    <w:tmpl w:val="962A4ADE"/>
    <w:lvl w:ilvl="0" w:tplc="0FF23904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03">
    <w:abstractNumId w:val="0"/>
  </w:num>
  <w:num w:numId="2" w16cid:durableId="1369378838">
    <w:abstractNumId w:val="10"/>
  </w:num>
  <w:num w:numId="3" w16cid:durableId="904219493">
    <w:abstractNumId w:val="17"/>
  </w:num>
  <w:num w:numId="4" w16cid:durableId="1874345324">
    <w:abstractNumId w:val="2"/>
  </w:num>
  <w:num w:numId="5" w16cid:durableId="1906184366">
    <w:abstractNumId w:val="3"/>
  </w:num>
  <w:num w:numId="6" w16cid:durableId="1932812783">
    <w:abstractNumId w:val="15"/>
  </w:num>
  <w:num w:numId="7" w16cid:durableId="2086757335">
    <w:abstractNumId w:val="16"/>
  </w:num>
  <w:num w:numId="8" w16cid:durableId="1287546219">
    <w:abstractNumId w:val="13"/>
  </w:num>
  <w:num w:numId="9" w16cid:durableId="1960839304">
    <w:abstractNumId w:val="11"/>
  </w:num>
  <w:num w:numId="10" w16cid:durableId="1427775497">
    <w:abstractNumId w:val="6"/>
  </w:num>
  <w:num w:numId="11" w16cid:durableId="4282778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26314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14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7145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12094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9220126">
    <w:abstractNumId w:val="18"/>
  </w:num>
  <w:num w:numId="17" w16cid:durableId="225185384">
    <w:abstractNumId w:val="1"/>
  </w:num>
  <w:num w:numId="18" w16cid:durableId="1502695758">
    <w:abstractNumId w:val="7"/>
  </w:num>
  <w:num w:numId="19" w16cid:durableId="997424606">
    <w:abstractNumId w:val="5"/>
  </w:num>
  <w:num w:numId="20" w16cid:durableId="213657409">
    <w:abstractNumId w:val="4"/>
  </w:num>
  <w:num w:numId="21" w16cid:durableId="1596353835">
    <w:abstractNumId w:val="12"/>
  </w:num>
  <w:num w:numId="22" w16cid:durableId="1828546315">
    <w:abstractNumId w:val="8"/>
  </w:num>
  <w:num w:numId="23" w16cid:durableId="854877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EF"/>
    <w:rsid w:val="00016C88"/>
    <w:rsid w:val="000B0086"/>
    <w:rsid w:val="001554DC"/>
    <w:rsid w:val="0016496C"/>
    <w:rsid w:val="001756AA"/>
    <w:rsid w:val="001A781A"/>
    <w:rsid w:val="00287B8F"/>
    <w:rsid w:val="00304898"/>
    <w:rsid w:val="0030756F"/>
    <w:rsid w:val="004163EF"/>
    <w:rsid w:val="004F5A53"/>
    <w:rsid w:val="006C111E"/>
    <w:rsid w:val="00736C91"/>
    <w:rsid w:val="00A13853"/>
    <w:rsid w:val="00A756DD"/>
    <w:rsid w:val="00B16680"/>
    <w:rsid w:val="00B53AED"/>
    <w:rsid w:val="00B54676"/>
    <w:rsid w:val="00CB06E2"/>
    <w:rsid w:val="00D45E8C"/>
    <w:rsid w:val="00DD1094"/>
    <w:rsid w:val="00EC572F"/>
    <w:rsid w:val="00FA4089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D8072"/>
  <w15:chartTrackingRefBased/>
  <w15:docId w15:val="{ED3AA546-5313-44C3-92BB-C06B6C20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3EF"/>
    <w:pPr>
      <w:spacing w:after="0" w:line="252" w:lineRule="auto"/>
      <w:ind w:left="720"/>
      <w:contextualSpacing/>
      <w:jc w:val="both"/>
    </w:pPr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4163EF"/>
    <w:pPr>
      <w:autoSpaceDE w:val="0"/>
      <w:autoSpaceDN w:val="0"/>
      <w:adjustRightInd w:val="0"/>
      <w:spacing w:after="200" w:line="252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63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3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1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3EF"/>
  </w:style>
  <w:style w:type="paragraph" w:styleId="Stopka">
    <w:name w:val="footer"/>
    <w:basedOn w:val="Normalny"/>
    <w:link w:val="StopkaZnak"/>
    <w:uiPriority w:val="99"/>
    <w:unhideWhenUsed/>
    <w:rsid w:val="0041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3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3EF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6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63E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ajec.net,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dhalan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imr.gov.pl/dla-beneficjenta/wszystkie-wnioski/prow-2014-2020/poddzialanie-194-wsparcie-na-rzecz-kosztow-biezacych-i-aktywizacji.html" TargetMode="External"/><Relationship Id="rId2" Type="http://schemas.openxmlformats.org/officeDocument/2006/relationships/hyperlink" Target="https://www.arimr.gov.pl/index.php?id=22933.html" TargetMode="External"/><Relationship Id="rId1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4979</Words>
  <Characters>29877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Chorazy</dc:creator>
  <cp:keywords/>
  <dc:description/>
  <cp:lastModifiedBy>Magda Chorazy</cp:lastModifiedBy>
  <cp:revision>7</cp:revision>
  <dcterms:created xsi:type="dcterms:W3CDTF">2022-02-18T08:05:00Z</dcterms:created>
  <dcterms:modified xsi:type="dcterms:W3CDTF">2023-01-20T11:28:00Z</dcterms:modified>
</cp:coreProperties>
</file>