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A8A7" w14:textId="77777777" w:rsidR="00D77591" w:rsidRDefault="00D77591" w:rsidP="00D77591">
      <w:pPr>
        <w:jc w:val="center"/>
        <w:rPr>
          <w:b/>
          <w:bCs/>
        </w:rPr>
      </w:pPr>
    </w:p>
    <w:p w14:paraId="558BBA63" w14:textId="22AD7529" w:rsidR="00BF67BC" w:rsidRDefault="00BF67BC" w:rsidP="00A32845">
      <w:pPr>
        <w:jc w:val="center"/>
        <w:rPr>
          <w:b/>
          <w:bCs/>
          <w:caps/>
          <w:sz w:val="24"/>
          <w:szCs w:val="24"/>
        </w:rPr>
      </w:pPr>
      <w:r w:rsidRPr="00A32845">
        <w:rPr>
          <w:b/>
          <w:bCs/>
          <w:caps/>
          <w:sz w:val="24"/>
          <w:szCs w:val="24"/>
        </w:rPr>
        <w:t>Ankieta</w:t>
      </w:r>
      <w:r w:rsidR="00D77591" w:rsidRPr="00A32845">
        <w:rPr>
          <w:b/>
          <w:bCs/>
          <w:caps/>
          <w:sz w:val="24"/>
          <w:szCs w:val="24"/>
        </w:rPr>
        <w:t xml:space="preserve"> badająca </w:t>
      </w:r>
      <w:r w:rsidR="00A32845" w:rsidRPr="00A32845">
        <w:rPr>
          <w:b/>
          <w:bCs/>
          <w:caps/>
          <w:sz w:val="24"/>
          <w:szCs w:val="24"/>
        </w:rPr>
        <w:t xml:space="preserve">pożądane </w:t>
      </w:r>
      <w:r w:rsidR="00D77591" w:rsidRPr="00A32845">
        <w:rPr>
          <w:b/>
          <w:bCs/>
          <w:caps/>
          <w:sz w:val="24"/>
          <w:szCs w:val="24"/>
        </w:rPr>
        <w:t>kierunki</w:t>
      </w:r>
      <w:r w:rsidRPr="00A32845">
        <w:rPr>
          <w:b/>
          <w:bCs/>
          <w:caps/>
          <w:sz w:val="24"/>
          <w:szCs w:val="24"/>
        </w:rPr>
        <w:t xml:space="preserve"> wykorzystani</w:t>
      </w:r>
      <w:r w:rsidR="00D77591" w:rsidRPr="00A32845">
        <w:rPr>
          <w:b/>
          <w:bCs/>
          <w:caps/>
          <w:sz w:val="24"/>
          <w:szCs w:val="24"/>
        </w:rPr>
        <w:t>a</w:t>
      </w:r>
      <w:r w:rsidRPr="00A32845">
        <w:rPr>
          <w:b/>
          <w:bCs/>
          <w:caps/>
          <w:sz w:val="24"/>
          <w:szCs w:val="24"/>
        </w:rPr>
        <w:t xml:space="preserve"> wolnych środków</w:t>
      </w:r>
    </w:p>
    <w:p w14:paraId="73747936" w14:textId="77777777" w:rsidR="00CD2058" w:rsidRPr="00A32845" w:rsidRDefault="00CD2058" w:rsidP="00A32845">
      <w:pPr>
        <w:jc w:val="center"/>
        <w:rPr>
          <w:b/>
          <w:bCs/>
          <w:caps/>
          <w:sz w:val="24"/>
          <w:szCs w:val="24"/>
        </w:rPr>
      </w:pPr>
    </w:p>
    <w:p w14:paraId="6C3704E7" w14:textId="09DB65BF" w:rsidR="00BF67BC" w:rsidRDefault="00BF67BC">
      <w:r>
        <w:t>Podhalańska LGD jest w trakcie ewaluacji własnej stanu realizacji budżetu i wskaźników poszczególnych przedsięwzięć.</w:t>
      </w:r>
    </w:p>
    <w:p w14:paraId="09D6318B" w14:textId="40C388A0" w:rsidR="00BF67BC" w:rsidRPr="00F254DA" w:rsidRDefault="00BF67BC">
      <w:pPr>
        <w:rPr>
          <w:b/>
          <w:bCs/>
        </w:rPr>
      </w:pPr>
      <w:r w:rsidRPr="00F254DA">
        <w:rPr>
          <w:b/>
          <w:bCs/>
        </w:rPr>
        <w:t>Są obszary, w których pomimo niewykorzystania pełnej puli środków, osiągnięte zostały minimalne wartości wskaźników zaplanowane w strategii działania PLGD</w:t>
      </w:r>
      <w:r w:rsidR="00F254DA">
        <w:rPr>
          <w:b/>
          <w:bCs/>
        </w:rPr>
        <w:t xml:space="preserve"> – powstały oszczędności po rozliczeniu, realizacji projektów.</w:t>
      </w:r>
    </w:p>
    <w:p w14:paraId="40DB147F" w14:textId="14C9369B" w:rsidR="00BF67BC" w:rsidRDefault="00BF67BC">
      <w:r>
        <w:t xml:space="preserve">Będziemy mieć możliwość wykorzystania tych środków poprzez </w:t>
      </w:r>
      <w:r w:rsidR="00A32845">
        <w:t xml:space="preserve">aktualizację LSR i </w:t>
      </w:r>
      <w:r>
        <w:t>przeniesienie na te przedsięwzięcia, które Państwa zdaniem są najbardziej potrzebne.</w:t>
      </w:r>
      <w:r w:rsidR="00A32845">
        <w:t xml:space="preserve"> Z uwagi na zaplanowane nabory na rozwój przedsiębiorczości i </w:t>
      </w:r>
      <w:proofErr w:type="spellStart"/>
      <w:r w:rsidR="00A32845">
        <w:t>długotwały</w:t>
      </w:r>
      <w:proofErr w:type="spellEnd"/>
      <w:r w:rsidR="00A32845">
        <w:t xml:space="preserve"> czas realizacji operacji inwestycyjnych i infrastrukturalnych</w:t>
      </w:r>
      <w:r w:rsidR="00F254DA">
        <w:t>,</w:t>
      </w:r>
      <w:r w:rsidR="00A32845">
        <w:t xml:space="preserve"> </w:t>
      </w:r>
      <w:r w:rsidR="00A32845" w:rsidRPr="006048E9">
        <w:rPr>
          <w:b/>
          <w:bCs/>
        </w:rPr>
        <w:t>Podhalań</w:t>
      </w:r>
      <w:r w:rsidR="00847E7F">
        <w:rPr>
          <w:b/>
          <w:bCs/>
        </w:rPr>
        <w:t>s</w:t>
      </w:r>
      <w:r w:rsidR="00A32845" w:rsidRPr="006048E9">
        <w:rPr>
          <w:b/>
          <w:bCs/>
        </w:rPr>
        <w:t>k</w:t>
      </w:r>
      <w:r w:rsidR="00F254DA" w:rsidRPr="006048E9">
        <w:rPr>
          <w:b/>
          <w:bCs/>
        </w:rPr>
        <w:t>a</w:t>
      </w:r>
      <w:r w:rsidR="00A32845" w:rsidRPr="006048E9">
        <w:rPr>
          <w:b/>
          <w:bCs/>
        </w:rPr>
        <w:t xml:space="preserve"> LGD preferuje przeniesienie tych oszczędności na projekty</w:t>
      </w:r>
      <w:r w:rsidR="00CD2058" w:rsidRPr="006048E9">
        <w:rPr>
          <w:b/>
          <w:bCs/>
        </w:rPr>
        <w:t xml:space="preserve"> głównie miękkie</w:t>
      </w:r>
      <w:r w:rsidR="00A32845" w:rsidRPr="006048E9">
        <w:rPr>
          <w:b/>
          <w:bCs/>
        </w:rPr>
        <w:t xml:space="preserve"> dedykowane osobom fizycznym i stowarzyszeniom</w:t>
      </w:r>
      <w:r w:rsidR="00CD2058" w:rsidRPr="006048E9">
        <w:rPr>
          <w:b/>
          <w:bCs/>
        </w:rPr>
        <w:t xml:space="preserve"> (zaznaczone pogrubioną czcionka)</w:t>
      </w:r>
      <w:r w:rsidR="00A32845" w:rsidRPr="006048E9">
        <w:rPr>
          <w:b/>
          <w:bCs/>
        </w:rPr>
        <w:t xml:space="preserve">. Pozostawiamy </w:t>
      </w:r>
      <w:r w:rsidR="00A32845" w:rsidRPr="00A32845">
        <w:rPr>
          <w:b/>
          <w:bCs/>
        </w:rPr>
        <w:t>jednak Państwu głos w jakim kierunku szczególnie są Państwo zainteresowani realizacją projektów.</w:t>
      </w:r>
    </w:p>
    <w:p w14:paraId="7464C60F" w14:textId="565B0C38" w:rsidR="00BF67BC" w:rsidRDefault="00BF67BC">
      <w:r>
        <w:t>Prosimy o zaznaczenie</w:t>
      </w:r>
      <w:r w:rsidR="00773A75">
        <w:t xml:space="preserve"> </w:t>
      </w:r>
      <w:r w:rsidR="00773A75" w:rsidRPr="00773A75">
        <w:rPr>
          <w:b/>
          <w:bCs/>
        </w:rPr>
        <w:t>jednego</w:t>
      </w:r>
      <w:r w:rsidRPr="00773A75">
        <w:rPr>
          <w:b/>
          <w:bCs/>
        </w:rPr>
        <w:t xml:space="preserve"> najbardziej preferow</w:t>
      </w:r>
      <w:r w:rsidR="00773A75" w:rsidRPr="00773A75">
        <w:rPr>
          <w:b/>
          <w:bCs/>
        </w:rPr>
        <w:t>anego</w:t>
      </w:r>
      <w:r w:rsidRPr="00773A75">
        <w:rPr>
          <w:b/>
          <w:bCs/>
        </w:rPr>
        <w:t xml:space="preserve"> przedsięwzię</w:t>
      </w:r>
      <w:r w:rsidR="00773A75" w:rsidRPr="00773A75">
        <w:rPr>
          <w:b/>
          <w:bCs/>
        </w:rPr>
        <w:t>cia</w:t>
      </w:r>
      <w:r>
        <w:t xml:space="preserve"> – tzn. taki</w:t>
      </w:r>
      <w:r w:rsidR="00773A75">
        <w:t>ego</w:t>
      </w:r>
      <w:r>
        <w:t>, na któr</w:t>
      </w:r>
      <w:r w:rsidR="007E3E9A">
        <w:t>ego</w:t>
      </w:r>
      <w:r>
        <w:t xml:space="preserve"> realizację ma Pan/Pani pomysł </w:t>
      </w:r>
      <w:r w:rsidR="007E3E9A">
        <w:t xml:space="preserve"> </w:t>
      </w:r>
      <w:r w:rsidR="00773A75">
        <w:t>i</w:t>
      </w:r>
      <w:r w:rsidR="007E3E9A">
        <w:t xml:space="preserve"> </w:t>
      </w:r>
      <w:r w:rsidR="00773A75">
        <w:t xml:space="preserve"> pełną gotowość do realizacji w czasie do grudnia 2020 r.</w:t>
      </w:r>
    </w:p>
    <w:p w14:paraId="7DF0A711" w14:textId="77777777" w:rsidR="00CD2058" w:rsidRDefault="00CD2058"/>
    <w:tbl>
      <w:tblPr>
        <w:tblW w:w="10065" w:type="dxa"/>
        <w:tblInd w:w="-5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953"/>
        <w:gridCol w:w="993"/>
      </w:tblGrid>
      <w:tr w:rsidR="007E3E9A" w:rsidRPr="008E179D" w14:paraId="55292654" w14:textId="23A7C6E2" w:rsidTr="005461E4">
        <w:trPr>
          <w:trHeight w:val="81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B054937" w14:textId="77777777" w:rsidR="00D77591" w:rsidRPr="008E179D" w:rsidRDefault="00D77591" w:rsidP="00B31464">
            <w:pPr>
              <w:tabs>
                <w:tab w:val="left" w:pos="4395"/>
              </w:tabs>
              <w:ind w:left="-212" w:right="45"/>
              <w:jc w:val="center"/>
              <w:rPr>
                <w:color w:val="FFFFFF"/>
              </w:rPr>
            </w:pPr>
            <w:r w:rsidRPr="008E179D">
              <w:rPr>
                <w:color w:val="FFFFFF"/>
              </w:rPr>
              <w:t>Nr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34D69434" w14:textId="77777777" w:rsidR="00D77591" w:rsidRPr="008E179D" w:rsidRDefault="00D77591" w:rsidP="00D77591">
            <w:pPr>
              <w:tabs>
                <w:tab w:val="left" w:pos="4395"/>
              </w:tabs>
              <w:ind w:right="45"/>
              <w:jc w:val="center"/>
              <w:rPr>
                <w:color w:val="FFFFFF"/>
              </w:rPr>
            </w:pPr>
            <w:r w:rsidRPr="008E179D">
              <w:rPr>
                <w:color w:val="FFFFFF"/>
              </w:rPr>
              <w:t>Nazwa przedsięwzięcia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70064D6" w14:textId="77777777" w:rsidR="00D77591" w:rsidRPr="00D77591" w:rsidRDefault="00D77591" w:rsidP="00B31464">
            <w:pPr>
              <w:tabs>
                <w:tab w:val="left" w:pos="4395"/>
              </w:tabs>
              <w:ind w:right="45"/>
              <w:jc w:val="center"/>
              <w:rPr>
                <w:color w:val="FFFFFF"/>
                <w:sz w:val="20"/>
                <w:szCs w:val="20"/>
              </w:rPr>
            </w:pPr>
            <w:r w:rsidRPr="00D77591">
              <w:rPr>
                <w:color w:val="FFFFFF"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</w:tcPr>
          <w:p w14:paraId="768585A5" w14:textId="377FCBA8" w:rsidR="00D77591" w:rsidRPr="008E179D" w:rsidRDefault="00D77591" w:rsidP="00B31464">
            <w:pPr>
              <w:tabs>
                <w:tab w:val="left" w:pos="4395"/>
              </w:tabs>
              <w:ind w:right="4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TAK </w:t>
            </w:r>
            <w:r w:rsidRPr="00D77591">
              <w:rPr>
                <w:color w:val="FFFFFF"/>
                <w:sz w:val="18"/>
                <w:szCs w:val="18"/>
              </w:rPr>
              <w:t xml:space="preserve">zaznaczyć </w:t>
            </w:r>
            <w:r w:rsidRPr="00D77591">
              <w:rPr>
                <w:color w:val="FFFFFF"/>
                <w:sz w:val="28"/>
                <w:szCs w:val="28"/>
              </w:rPr>
              <w:t>X</w:t>
            </w:r>
          </w:p>
        </w:tc>
      </w:tr>
      <w:tr w:rsidR="00D77591" w:rsidRPr="00DC34C0" w14:paraId="3AFAA6FE" w14:textId="7B64F7F5" w:rsidTr="005461E4">
        <w:trPr>
          <w:trHeight w:val="184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26B05463" w14:textId="77777777" w:rsidR="00D77591" w:rsidRPr="00A32845" w:rsidRDefault="00D77591" w:rsidP="00B31464">
            <w:pPr>
              <w:tabs>
                <w:tab w:val="left" w:pos="4395"/>
              </w:tabs>
              <w:ind w:left="-212" w:right="45"/>
              <w:jc w:val="right"/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55A214B5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Tworzenie i rozwój ogólnodostępnej niekomercyjnej infrastruktury </w:t>
            </w:r>
            <w:r w:rsidRPr="00A32845">
              <w:rPr>
                <w:rFonts w:eastAsia="Times New Roman"/>
                <w:sz w:val="21"/>
                <w:szCs w:val="21"/>
                <w:lang w:eastAsia="pl-PL"/>
              </w:rPr>
              <w:t>turystycznej, rekreacyjnej, sportowej kulturalnej</w:t>
            </w:r>
          </w:p>
        </w:tc>
        <w:tc>
          <w:tcPr>
            <w:tcW w:w="5953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46014D2E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>Projekty dotyczące budowy, przebudowy, modernizacji oraz zakupu wyposażenia obiektów i miejsc o charakterze turystycznym, rekreacyjnym, sportowym i kulturalnym, takich jak np. zagospodarowanie centrów wsi, miejsc wypoczynkowych, oznakowania miejscowości, przysiółków, szlaków/tras turystycznych/ wypoczynkowych, boiska sportowe, place zabaw, siłownie zewnętrzne, inwestycje w obiektach sportowych, kulturalnych oraz inne projekty o podobnym charakterze. Realizacja przedsięwzięcia w ramach projektu grantowego oraz w trybie konkursu.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6B897D4B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6B69CAC7" w14:textId="452C8668" w:rsidTr="005461E4">
        <w:trPr>
          <w:trHeight w:val="841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24D1AC38" w14:textId="77777777" w:rsidR="00D77591" w:rsidRPr="00A32845" w:rsidRDefault="00D77591" w:rsidP="00B31464">
            <w:pPr>
              <w:tabs>
                <w:tab w:val="left" w:pos="4395"/>
              </w:tabs>
              <w:ind w:left="-212" w:right="45"/>
              <w:jc w:val="right"/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1.1.2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1AC8A2E2" w14:textId="77777777" w:rsidR="00D77591" w:rsidRPr="00A32845" w:rsidRDefault="00D77591" w:rsidP="00B31464">
            <w:pPr>
              <w:tabs>
                <w:tab w:val="left" w:pos="4395"/>
              </w:tabs>
              <w:autoSpaceDE w:val="0"/>
              <w:autoSpaceDN w:val="0"/>
              <w:adjustRightInd w:val="0"/>
              <w:ind w:right="45"/>
              <w:rPr>
                <w:b/>
                <w:bCs/>
                <w:sz w:val="21"/>
                <w:szCs w:val="21"/>
              </w:rPr>
            </w:pPr>
            <w:r w:rsidRPr="00A32845">
              <w:rPr>
                <w:b/>
                <w:bCs/>
                <w:color w:val="000000"/>
                <w:sz w:val="21"/>
                <w:szCs w:val="21"/>
              </w:rPr>
              <w:t>Polepszenie oferty spędzania wolnego czasu poprzez zajęcia sportowe, rekreacyjne, ekologiczne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14:paraId="1E1D76F8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/>
                <w:bCs/>
                <w:sz w:val="21"/>
                <w:szCs w:val="21"/>
              </w:rPr>
            </w:pPr>
            <w:r w:rsidRPr="00A32845">
              <w:rPr>
                <w:b/>
                <w:bCs/>
                <w:sz w:val="21"/>
                <w:szCs w:val="21"/>
              </w:rPr>
              <w:t xml:space="preserve">Wydarzenia, imprezy, spotkania, warsztaty, festyny, pikniki i inne formy zajęć o charakterze sportowym, rekreacyjnym, ekologicznym; wsparciem planuje się objąć </w:t>
            </w:r>
            <w:r w:rsidRPr="00A32845">
              <w:rPr>
                <w:rFonts w:eastAsia="Times New Roman"/>
                <w:b/>
                <w:bCs/>
                <w:sz w:val="21"/>
                <w:szCs w:val="21"/>
                <w:lang w:bidi="en-US"/>
              </w:rPr>
              <w:t xml:space="preserve"> wydarzenia/działania ukierunkowane na zwiększanie aktywności fizycznej mieszkańców i  promujące aktywny tryb życia, np. wycieczki, rajdy, zawody sportowe, konkursy, imprezy </w:t>
            </w:r>
            <w:r w:rsidRPr="00A32845">
              <w:rPr>
                <w:b/>
                <w:bCs/>
                <w:sz w:val="21"/>
                <w:szCs w:val="21"/>
              </w:rPr>
              <w:t>skierowane zarówno do mieszkańców ale poszerzającą też ofertę spędzania czasu wolnego dla turystów;</w:t>
            </w:r>
          </w:p>
        </w:tc>
        <w:tc>
          <w:tcPr>
            <w:tcW w:w="993" w:type="dxa"/>
            <w:shd w:val="clear" w:color="auto" w:fill="FFFFFF"/>
          </w:tcPr>
          <w:p w14:paraId="582D1BAC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772F60B0" w14:textId="558B71CC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54952775" w14:textId="77777777" w:rsidR="00D77591" w:rsidRPr="00A32845" w:rsidRDefault="00D77591" w:rsidP="00B31464">
            <w:pPr>
              <w:tabs>
                <w:tab w:val="left" w:pos="4395"/>
              </w:tabs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1.1.3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79179462" w14:textId="77777777" w:rsidR="00D77591" w:rsidRPr="00A32845" w:rsidRDefault="00D77591" w:rsidP="00B31464">
            <w:pPr>
              <w:tabs>
                <w:tab w:val="left" w:pos="4395"/>
              </w:tabs>
              <w:rPr>
                <w:sz w:val="21"/>
                <w:szCs w:val="21"/>
              </w:rPr>
            </w:pPr>
            <w:r w:rsidRPr="00A32845">
              <w:rPr>
                <w:rFonts w:eastAsia="Times New Roman"/>
                <w:sz w:val="21"/>
                <w:szCs w:val="21"/>
                <w:lang w:eastAsia="pl-PL"/>
              </w:rPr>
              <w:t>Podnoszenie świadomości społeczności lokalnej w zakresie ochrony środowiska, przeciwdziałania zmianom klimatu oraz promowanie działań proekologicznych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14:paraId="18A46E7D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 xml:space="preserve">Różnego rodzaju projekty podnoszące wiedzę i świadomość mieszkańców zakresie ekologii, ochrony środowiska, przeciwdziałania zmianom klimatycznym, promowanie postaw </w:t>
            </w:r>
            <w:proofErr w:type="spellStart"/>
            <w:r w:rsidRPr="00A32845">
              <w:rPr>
                <w:sz w:val="21"/>
                <w:szCs w:val="21"/>
              </w:rPr>
              <w:t>prośrodowiskowych</w:t>
            </w:r>
            <w:proofErr w:type="spellEnd"/>
            <w:r w:rsidRPr="00A32845">
              <w:rPr>
                <w:sz w:val="21"/>
                <w:szCs w:val="21"/>
              </w:rPr>
              <w:t xml:space="preserve"> i proekologicznych, działania edukacyjne zachęcające do korzystania z rozwiązań innowacyjnych wykorzystujących OZE, np. pikniki ekologiczne, konkursy, działania edukacyjne: warsztaty, szkolenia, konferencje, spotkania i inne działania zbieżne z zakresem przedsięwzięcia.</w:t>
            </w:r>
          </w:p>
        </w:tc>
        <w:tc>
          <w:tcPr>
            <w:tcW w:w="993" w:type="dxa"/>
            <w:shd w:val="clear" w:color="auto" w:fill="FFFFFF"/>
          </w:tcPr>
          <w:p w14:paraId="6199708E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7E3E9A" w14:paraId="3EDD9816" w14:textId="567FE26F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6F9D3160" w14:textId="77777777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bCs/>
                <w:color w:val="FFFFFF"/>
                <w:sz w:val="21"/>
                <w:szCs w:val="21"/>
                <w:lang w:val="en-US" w:bidi="en-US"/>
              </w:rPr>
            </w:pPr>
            <w:r w:rsidRPr="00A32845">
              <w:rPr>
                <w:rFonts w:eastAsia="Times New Roman"/>
                <w:bCs/>
                <w:color w:val="FFFFFF"/>
                <w:sz w:val="21"/>
                <w:szCs w:val="21"/>
              </w:rPr>
              <w:t>1.2.1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7C7C3060" w14:textId="77777777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b/>
                <w:sz w:val="21"/>
                <w:szCs w:val="21"/>
                <w:lang w:bidi="en-US"/>
              </w:rPr>
            </w:pPr>
            <w:r w:rsidRPr="00A32845"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  <w:t xml:space="preserve">Wzmacnianie tożsamości regionalnej oraz działania na rzecz integracji, aktywizacji i umacniania więzi lokalnych wśród mieszkańców obszaru PLGD 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358C07F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/>
                <w:sz w:val="21"/>
                <w:szCs w:val="21"/>
              </w:rPr>
            </w:pPr>
            <w:r w:rsidRPr="00A32845">
              <w:rPr>
                <w:b/>
                <w:sz w:val="21"/>
                <w:szCs w:val="21"/>
              </w:rPr>
              <w:t>Warsztaty, spotkania, działania edukacyjno-kulturalne, konkursy, imprezy i inne wydarzenia/działania, a także operacje inwestycyjne np. zakup strojów regionalnych, instrumentów ludowych, wyposażenia, materiałów edukacyjnych dla zespołów/ grup nieformalnych,/organizacji, wydawanie publikacji, materiałów informujących i promujących kulturę regionu, nagrania audiowizualne, oraz inne projekty przyczyniające się do kultywowania tradycji lokalnych i wzmacniania tożsamości regionalnej, więzi lokalnych, integrację i aktywizację mieszkańców;</w:t>
            </w:r>
          </w:p>
        </w:tc>
        <w:tc>
          <w:tcPr>
            <w:tcW w:w="993" w:type="dxa"/>
            <w:shd w:val="clear" w:color="auto" w:fill="FFFFFF"/>
          </w:tcPr>
          <w:p w14:paraId="031E96EB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Cs/>
                <w:sz w:val="21"/>
                <w:szCs w:val="21"/>
              </w:rPr>
            </w:pPr>
          </w:p>
        </w:tc>
      </w:tr>
      <w:tr w:rsidR="00D77591" w:rsidRPr="00DC34C0" w14:paraId="60C21517" w14:textId="479059A3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56205690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1.2.2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1A5B299" w14:textId="77777777" w:rsidR="00D77591" w:rsidRPr="00A32845" w:rsidRDefault="00D77591" w:rsidP="00B31464">
            <w:pPr>
              <w:rPr>
                <w:rFonts w:eastAsia="Times New Roman"/>
                <w:sz w:val="21"/>
                <w:szCs w:val="21"/>
              </w:rPr>
            </w:pP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Wspieranie działań na rzecz ochrony i zachowania dziedzictwa kulturowego i przyrodniczego obszaru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CFBF82A" w14:textId="77777777" w:rsidR="005461E4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sz w:val="21"/>
                <w:szCs w:val="21"/>
                <w:lang w:bidi="en-US"/>
              </w:rPr>
            </w:pPr>
            <w:r w:rsidRPr="00A32845">
              <w:rPr>
                <w:rFonts w:eastAsia="Times New Roman"/>
                <w:sz w:val="21"/>
                <w:szCs w:val="21"/>
                <w:lang w:bidi="en-US"/>
              </w:rPr>
              <w:t xml:space="preserve">Operacje przede wszystkim inwestycyjne </w:t>
            </w:r>
          </w:p>
          <w:p w14:paraId="3CC15AB8" w14:textId="3D90899C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sz w:val="21"/>
                <w:szCs w:val="21"/>
                <w:lang w:bidi="en-US"/>
              </w:rPr>
            </w:pPr>
            <w:r w:rsidRPr="00A32845">
              <w:rPr>
                <w:rFonts w:eastAsia="Times New Roman"/>
                <w:sz w:val="21"/>
                <w:szCs w:val="21"/>
                <w:lang w:bidi="en-US"/>
              </w:rPr>
              <w:t>polegające na zachowaniu lokalnego dziedzictwa: kulturowego, historycznego i przyrodniczego obszaru. Wsparciem planuje się objąć zabytki oraz inne  cenne miejsca świadczące o specyfice obszaru PLGD;</w:t>
            </w:r>
          </w:p>
        </w:tc>
        <w:tc>
          <w:tcPr>
            <w:tcW w:w="993" w:type="dxa"/>
            <w:shd w:val="clear" w:color="auto" w:fill="FFFFFF"/>
          </w:tcPr>
          <w:p w14:paraId="07CB98C3" w14:textId="77777777" w:rsidR="00D77591" w:rsidRPr="00A32845" w:rsidRDefault="00D77591" w:rsidP="00B31464">
            <w:pPr>
              <w:tabs>
                <w:tab w:val="left" w:pos="4395"/>
              </w:tabs>
              <w:rPr>
                <w:rFonts w:eastAsia="Times New Roman"/>
                <w:sz w:val="21"/>
                <w:szCs w:val="21"/>
                <w:lang w:bidi="en-US"/>
              </w:rPr>
            </w:pPr>
          </w:p>
        </w:tc>
      </w:tr>
      <w:tr w:rsidR="00D77591" w:rsidRPr="00DC34C0" w14:paraId="7E1C1556" w14:textId="28B03374" w:rsidTr="005461E4">
        <w:trPr>
          <w:trHeight w:val="445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0B001CE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1.2.3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4B41E545" w14:textId="77777777" w:rsidR="00D77591" w:rsidRPr="00A32845" w:rsidRDefault="00D77591" w:rsidP="00B31464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Wsparcie organizacji pozarządowych w zakresie działalności statutowej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A057311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/>
                <w:bCs/>
                <w:sz w:val="21"/>
                <w:szCs w:val="21"/>
                <w:lang w:bidi="en-US"/>
              </w:rPr>
            </w:pPr>
            <w:r w:rsidRPr="00A32845">
              <w:rPr>
                <w:b/>
                <w:bCs/>
                <w:sz w:val="21"/>
                <w:szCs w:val="21"/>
              </w:rPr>
              <w:t xml:space="preserve">Wsparciem zostaną objęte działania mające na celu wzmocnienie potencjału technicznego oraz organizacyjnego organizacji pozarządowych/grup nieformalnych, np.:  działania edukacyjno-kulturalne, promocyjne, zakup wyposażenia, urządzeń, sprzętu, </w:t>
            </w:r>
            <w:r w:rsidRPr="00A32845">
              <w:rPr>
                <w:b/>
                <w:bCs/>
                <w:sz w:val="21"/>
                <w:szCs w:val="21"/>
              </w:rPr>
              <w:lastRenderedPageBreak/>
              <w:t>materiałów do prowadzenia działalności oraz modernizacja obiektów wykorzystywanych na potrzeby działalności NGO; cześć wsparcia zostanie przeznaczona na dofinansowanie innowacyjnych działań</w:t>
            </w:r>
          </w:p>
        </w:tc>
        <w:tc>
          <w:tcPr>
            <w:tcW w:w="993" w:type="dxa"/>
            <w:shd w:val="clear" w:color="auto" w:fill="FFFFFF"/>
          </w:tcPr>
          <w:p w14:paraId="0AB2AEFA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1BF4A625" w14:textId="03EF6B64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66B6CFF" w14:textId="77777777" w:rsidR="00D77591" w:rsidRPr="00A32845" w:rsidRDefault="00D77591" w:rsidP="00B31464">
            <w:pPr>
              <w:rPr>
                <w:b/>
                <w:color w:val="FFFFFF"/>
                <w:sz w:val="21"/>
                <w:szCs w:val="21"/>
              </w:rPr>
            </w:pPr>
            <w:r w:rsidRPr="00A32845">
              <w:rPr>
                <w:b/>
                <w:color w:val="FFFFFF"/>
                <w:sz w:val="21"/>
                <w:szCs w:val="21"/>
              </w:rPr>
              <w:t>2.1.1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24123B7" w14:textId="32D79A71" w:rsidR="00D77591" w:rsidRPr="00CD2058" w:rsidRDefault="00D77591" w:rsidP="00B314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PREMIA NA STRAT - wsparcie na podjęcie działalności gospodarczej, w tym opartej na innowacjach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803FC59" w14:textId="77777777" w:rsidR="00D77591" w:rsidRPr="00CD2058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highlight w:val="red"/>
              </w:rPr>
            </w:pPr>
            <w:r w:rsidRPr="00CD2058">
              <w:rPr>
                <w:sz w:val="21"/>
                <w:szCs w:val="21"/>
              </w:rPr>
              <w:t xml:space="preserve">Wsparcie przeznaczone dla osób fizycznych oraz pozostałych uprawnionych beneficjentów zgodnie </w:t>
            </w:r>
            <w:r w:rsidRPr="00CD2058">
              <w:rPr>
                <w:i/>
                <w:sz w:val="21"/>
                <w:szCs w:val="21"/>
              </w:rPr>
              <w:t>z Rozporządzeniem dot. wdrażania LSR</w:t>
            </w:r>
            <w:r w:rsidRPr="00CD2058">
              <w:rPr>
                <w:sz w:val="21"/>
                <w:szCs w:val="21"/>
              </w:rPr>
              <w:t xml:space="preserve">;  szczególnym wsparciem zostaną  objęte osoby z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 xml:space="preserve"> oraz podejmujące działalność innowacyjną (zgodnie z założonymi wskaźnikami), premiowane będą operacje zmierzające do założenia firmy społecznej ;</w:t>
            </w:r>
          </w:p>
        </w:tc>
        <w:tc>
          <w:tcPr>
            <w:tcW w:w="993" w:type="dxa"/>
            <w:shd w:val="clear" w:color="auto" w:fill="FFFFFF"/>
          </w:tcPr>
          <w:p w14:paraId="12F78225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573A798" w14:textId="77777777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290ADFF4" w14:textId="77777777" w:rsidR="00D77591" w:rsidRPr="00A32845" w:rsidRDefault="00D77591" w:rsidP="00B31464">
            <w:pPr>
              <w:rPr>
                <w:b/>
                <w:color w:val="FFFFFF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213E501C" w14:textId="144CBCEA" w:rsidR="00D77591" w:rsidRPr="00CD2058" w:rsidRDefault="00D77591" w:rsidP="00B3146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i zakładanych przez osoby z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</w:p>
        </w:tc>
        <w:tc>
          <w:tcPr>
            <w:tcW w:w="5953" w:type="dxa"/>
            <w:shd w:val="clear" w:color="auto" w:fill="FFFFFF"/>
            <w:vAlign w:val="center"/>
          </w:tcPr>
          <w:p w14:paraId="7B3F73D3" w14:textId="77777777" w:rsidR="00D77591" w:rsidRPr="00CD2058" w:rsidRDefault="007E3E9A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proofErr w:type="spellStart"/>
            <w:r w:rsidRPr="00CD2058">
              <w:rPr>
                <w:sz w:val="21"/>
                <w:szCs w:val="21"/>
              </w:rPr>
              <w:t>j.w</w:t>
            </w:r>
            <w:proofErr w:type="spellEnd"/>
            <w:r w:rsidRPr="00CD2058">
              <w:rPr>
                <w:sz w:val="21"/>
                <w:szCs w:val="21"/>
              </w:rPr>
              <w:t xml:space="preserve">. ale dedykowane tylko osobom należącym do jednej z 3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>:</w:t>
            </w:r>
          </w:p>
          <w:p w14:paraId="6E940C0C" w14:textId="7FFCC37C" w:rsidR="007E3E9A" w:rsidRPr="00CD2058" w:rsidRDefault="007E3E9A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>osoby młode do 35 r.ż. lub osoby z rodzin wielodzietnych lub osoby bezrobotne</w:t>
            </w:r>
          </w:p>
        </w:tc>
        <w:tc>
          <w:tcPr>
            <w:tcW w:w="993" w:type="dxa"/>
            <w:shd w:val="clear" w:color="auto" w:fill="FFFFFF"/>
          </w:tcPr>
          <w:p w14:paraId="409F2C4F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09A04C23" w14:textId="3C487C5D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3969BAE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2.1.2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13DF2B92" w14:textId="78A801B0" w:rsidR="00D77591" w:rsidRPr="00CD2058" w:rsidRDefault="00D77591" w:rsidP="00B31464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  <w:lang w:eastAsia="pl-PL"/>
              </w:rPr>
            </w:pPr>
            <w:r w:rsidRPr="00CD2058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Wspieranie rozwoju przedsiębiorstw na rzecz tworzenia nowych miejsc pracy</w:t>
            </w:r>
            <w:r w:rsidRPr="00CD2058">
              <w:rPr>
                <w:rFonts w:eastAsia="Times New Roman"/>
                <w:sz w:val="21"/>
                <w:szCs w:val="21"/>
                <w:lang w:eastAsia="pl-PL"/>
              </w:rPr>
              <w:t xml:space="preserve"> w tym również opartych na innowacjach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3972CD8" w14:textId="77777777" w:rsidR="00D77591" w:rsidRPr="00CD2058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Przedsiębiorcy prowadzący różne rodzaje działalności; szczególnym wsparciem zostaną objęci przedsiębiorcy wdrażający innowacje oraz tworzący miejsca pracy dla osób z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>, a także przedsiębiorstwa społeczne;</w:t>
            </w:r>
          </w:p>
        </w:tc>
        <w:tc>
          <w:tcPr>
            <w:tcW w:w="993" w:type="dxa"/>
            <w:shd w:val="clear" w:color="auto" w:fill="FFFFFF"/>
          </w:tcPr>
          <w:p w14:paraId="43D7DB18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4866A27" w14:textId="77777777" w:rsidTr="005461E4">
        <w:trPr>
          <w:trHeight w:val="70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0F68586E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311536B9" w14:textId="6055C5E8" w:rsidR="00D77591" w:rsidRPr="00CD2058" w:rsidRDefault="00D77591" w:rsidP="00B314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CD2058">
              <w:rPr>
                <w:rFonts w:eastAsia="Times New Roman"/>
                <w:sz w:val="21"/>
                <w:szCs w:val="21"/>
                <w:lang w:eastAsia="pl-PL"/>
              </w:rPr>
              <w:t xml:space="preserve">i zatrudniających osoby z  grup </w:t>
            </w:r>
            <w:proofErr w:type="spellStart"/>
            <w:r w:rsidRPr="00CD2058">
              <w:rPr>
                <w:rFonts w:eastAsia="Times New Roman"/>
                <w:sz w:val="21"/>
                <w:szCs w:val="21"/>
                <w:lang w:eastAsia="pl-PL"/>
              </w:rPr>
              <w:t>defaworyzowanych</w:t>
            </w:r>
            <w:proofErr w:type="spellEnd"/>
          </w:p>
        </w:tc>
        <w:tc>
          <w:tcPr>
            <w:tcW w:w="5953" w:type="dxa"/>
            <w:shd w:val="clear" w:color="auto" w:fill="FFFFFF"/>
            <w:vAlign w:val="center"/>
          </w:tcPr>
          <w:p w14:paraId="6E50E142" w14:textId="1922ACC8" w:rsidR="007E3E9A" w:rsidRPr="00CD2058" w:rsidRDefault="007E3E9A" w:rsidP="007E3E9A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 xml:space="preserve">.w. ale wnioskodawca deklaruje zatrudnienie osób należących do jednej z 3 grup </w:t>
            </w:r>
            <w:proofErr w:type="spellStart"/>
            <w:r w:rsidRPr="00CD2058">
              <w:rPr>
                <w:sz w:val="21"/>
                <w:szCs w:val="21"/>
              </w:rPr>
              <w:t>defaworyzowanych</w:t>
            </w:r>
            <w:proofErr w:type="spellEnd"/>
            <w:r w:rsidRPr="00CD2058">
              <w:rPr>
                <w:sz w:val="21"/>
                <w:szCs w:val="21"/>
              </w:rPr>
              <w:t>:</w:t>
            </w:r>
          </w:p>
          <w:p w14:paraId="15E12AFB" w14:textId="2FDE9258" w:rsidR="00D77591" w:rsidRPr="00CD2058" w:rsidRDefault="007E3E9A" w:rsidP="007E3E9A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CD2058">
              <w:rPr>
                <w:sz w:val="21"/>
                <w:szCs w:val="21"/>
              </w:rPr>
              <w:t>osoby młode do 35 r.ż. lub osoby z rodzin wielodzietnych lub osoby bezrobotne</w:t>
            </w:r>
          </w:p>
        </w:tc>
        <w:tc>
          <w:tcPr>
            <w:tcW w:w="993" w:type="dxa"/>
            <w:shd w:val="clear" w:color="auto" w:fill="FFFFFF"/>
          </w:tcPr>
          <w:p w14:paraId="7A3A9581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7F7059C1" w14:textId="4AFD035B" w:rsidTr="005461E4">
        <w:trPr>
          <w:trHeight w:val="1968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  <w:hideMark/>
          </w:tcPr>
          <w:p w14:paraId="6595A352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2.2.1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14:paraId="38A75B01" w14:textId="15FF8B6C" w:rsidR="00D77591" w:rsidRPr="00A32845" w:rsidRDefault="00D77591" w:rsidP="00B31464">
            <w:pPr>
              <w:rPr>
                <w:rFonts w:eastAsia="Times New Roman"/>
                <w:color w:val="FF0000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Wykorzystanie potencjału produktów lokalnych na rzecz rozw</w:t>
            </w:r>
            <w:r w:rsid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ój</w:t>
            </w:r>
            <w:r w:rsidRPr="00A32845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lokalnej przedsiębiorczości opartej na </w:t>
            </w:r>
            <w:r w:rsidRPr="00A32845">
              <w:rPr>
                <w:rFonts w:eastAsia="Times New Roman"/>
                <w:sz w:val="21"/>
                <w:szCs w:val="21"/>
                <w:lang w:eastAsia="pl-PL"/>
              </w:rPr>
              <w:t xml:space="preserve">lokalnym produkcie spożywczym – </w:t>
            </w:r>
            <w:r w:rsidRPr="00A32845">
              <w:rPr>
                <w:sz w:val="21"/>
                <w:szCs w:val="21"/>
              </w:rPr>
              <w:t xml:space="preserve">rozwój przetwórstwa produkcji i dystrybucji produktów lokalnych </w:t>
            </w:r>
            <w:bookmarkStart w:id="0" w:name="_GoBack"/>
            <w:bookmarkEnd w:id="0"/>
            <w:r w:rsidRPr="00A32845">
              <w:rPr>
                <w:sz w:val="21"/>
                <w:szCs w:val="21"/>
              </w:rPr>
              <w:t>/Rozwój przedsiębiorstw</w:t>
            </w:r>
            <w:r w:rsidRPr="00A32845">
              <w:rPr>
                <w:color w:val="000000"/>
                <w:sz w:val="21"/>
                <w:szCs w:val="21"/>
              </w:rPr>
              <w:t xml:space="preserve"> w branży spożywczej/</w:t>
            </w:r>
          </w:p>
        </w:tc>
        <w:tc>
          <w:tcPr>
            <w:tcW w:w="5953" w:type="dxa"/>
            <w:shd w:val="clear" w:color="auto" w:fill="FFFFFF"/>
            <w:vAlign w:val="center"/>
            <w:hideMark/>
          </w:tcPr>
          <w:p w14:paraId="075B0384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  <w:r w:rsidRPr="00A32845">
              <w:rPr>
                <w:sz w:val="21"/>
                <w:szCs w:val="21"/>
              </w:rPr>
              <w:t xml:space="preserve">Przedsiębiorcy prowadzący lub rozwijający działalność gospodarczą  opartą na produkcie lokalnym (kreowanym lub istniejącym) sklasyfikowaną w ramach kodów </w:t>
            </w:r>
            <w:proofErr w:type="spellStart"/>
            <w:r w:rsidRPr="00A32845">
              <w:rPr>
                <w:sz w:val="21"/>
                <w:szCs w:val="21"/>
              </w:rPr>
              <w:t>pkd</w:t>
            </w:r>
            <w:proofErr w:type="spellEnd"/>
            <w:r w:rsidRPr="00A32845">
              <w:rPr>
                <w:sz w:val="21"/>
                <w:szCs w:val="21"/>
              </w:rPr>
              <w:t>/ działów związanych z branżą spożywczą (w zakresie produkcji, przetwarzania, dystrybucji, usług).</w:t>
            </w:r>
          </w:p>
          <w:p w14:paraId="49A2A3BD" w14:textId="77777777" w:rsidR="00D77591" w:rsidRPr="00A32845" w:rsidRDefault="00D77591" w:rsidP="00B31464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67769984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570AC3B" w14:textId="4BEC4687" w:rsidTr="00CD2058">
        <w:trPr>
          <w:trHeight w:val="124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143047FD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  <w:lang w:eastAsia="pl-PL"/>
              </w:rPr>
              <w:t>2.2.2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1B466697" w14:textId="77777777" w:rsidR="00D77591" w:rsidRPr="00A32845" w:rsidRDefault="00D77591" w:rsidP="00B31464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Wspieranie integracji branż mających znaczenie w zakresie produktu lokalnego na Podhalu</w:t>
            </w:r>
            <w:r w:rsidRPr="00A32845">
              <w:rPr>
                <w:rFonts w:eastAsia="Times New Roman"/>
                <w:b/>
                <w:bCs/>
                <w:i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6DA72BD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/>
                <w:bCs/>
                <w:sz w:val="21"/>
                <w:szCs w:val="21"/>
              </w:rPr>
            </w:pPr>
            <w:r w:rsidRPr="00A32845">
              <w:rPr>
                <w:b/>
                <w:bCs/>
                <w:sz w:val="21"/>
                <w:szCs w:val="21"/>
              </w:rPr>
              <w:t>Działania na rzecz budowania współpracy lokalnych podmiotów, rolników w zakresie promocji i zwiększenia dostępności produktów lokalnych np. spotkania, wyjazdy, wymiana doświadczeń i dobrych praktyk, targi, konferencje i in.</w:t>
            </w:r>
          </w:p>
        </w:tc>
        <w:tc>
          <w:tcPr>
            <w:tcW w:w="993" w:type="dxa"/>
            <w:shd w:val="clear" w:color="auto" w:fill="FFFFFF"/>
          </w:tcPr>
          <w:p w14:paraId="425A8042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</w:rPr>
            </w:pPr>
          </w:p>
        </w:tc>
      </w:tr>
      <w:tr w:rsidR="00D77591" w:rsidRPr="00DC34C0" w14:paraId="3FA16938" w14:textId="5D0962EA" w:rsidTr="005461E4">
        <w:trPr>
          <w:trHeight w:val="1018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5A95EBBD" w14:textId="77777777" w:rsidR="00D77591" w:rsidRPr="00A32845" w:rsidRDefault="00D77591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  <w:r w:rsidRPr="00A32845">
              <w:rPr>
                <w:rFonts w:eastAsia="Times New Roman"/>
                <w:b/>
                <w:color w:val="FFFFFF"/>
                <w:sz w:val="21"/>
                <w:szCs w:val="21"/>
              </w:rPr>
              <w:t>2.3.1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4481AA72" w14:textId="77777777" w:rsidR="00D77591" w:rsidRPr="00A32845" w:rsidRDefault="00D77591" w:rsidP="00B31464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A32845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Wydarzenia oraz działania informacyjno-promocyjne</w:t>
            </w:r>
            <w:r w:rsidRPr="00A3284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na rzecz rozwijania oferty turystycznej obszaru</w:t>
            </w:r>
            <w:r w:rsidRPr="00A32845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 PLGD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D74A9C3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b/>
                <w:bCs/>
                <w:sz w:val="21"/>
                <w:szCs w:val="21"/>
              </w:rPr>
            </w:pPr>
            <w:r w:rsidRPr="00A32845">
              <w:rPr>
                <w:b/>
                <w:bCs/>
                <w:sz w:val="21"/>
                <w:szCs w:val="21"/>
                <w:lang w:bidi="en-US"/>
              </w:rPr>
              <w:t xml:space="preserve">Różne projekty mieszczące się w zakresie zdefiniowanego przedsięwzięcia, np.: wydawnictwa/publikacje, nagrania audiowizualne itp. operacje promujące i kreujące wizerunek obszaru LGD, jego walory turystyczne; </w:t>
            </w:r>
          </w:p>
        </w:tc>
        <w:tc>
          <w:tcPr>
            <w:tcW w:w="993" w:type="dxa"/>
            <w:shd w:val="clear" w:color="auto" w:fill="FFFFFF"/>
          </w:tcPr>
          <w:p w14:paraId="4C24A54A" w14:textId="77777777" w:rsidR="00D77591" w:rsidRPr="00A32845" w:rsidRDefault="00D77591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lang w:bidi="en-US"/>
              </w:rPr>
            </w:pPr>
          </w:p>
        </w:tc>
      </w:tr>
      <w:tr w:rsidR="006048E9" w:rsidRPr="00DC34C0" w14:paraId="32F85F78" w14:textId="77777777" w:rsidTr="005461E4">
        <w:trPr>
          <w:trHeight w:val="1018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/>
            <w:vAlign w:val="center"/>
          </w:tcPr>
          <w:p w14:paraId="484B72E8" w14:textId="77777777" w:rsidR="006048E9" w:rsidRPr="00A32845" w:rsidRDefault="006048E9" w:rsidP="00B31464">
            <w:pPr>
              <w:rPr>
                <w:rFonts w:eastAsia="Times New Roman"/>
                <w:b/>
                <w:color w:val="FFFFFF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14:paraId="11840F3E" w14:textId="44FF9B37" w:rsidR="006048E9" w:rsidRPr="00A32845" w:rsidRDefault="006048E9" w:rsidP="00B31464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Inne, jakie  ………………… ………………………………………………………………………………………………………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24972A7" w14:textId="19C8BD4D" w:rsidR="006048E9" w:rsidRPr="00A32845" w:rsidRDefault="006048E9" w:rsidP="006048E9">
            <w:pPr>
              <w:tabs>
                <w:tab w:val="left" w:pos="4395"/>
              </w:tabs>
              <w:ind w:right="45"/>
              <w:jc w:val="left"/>
              <w:rPr>
                <w:b/>
                <w:bCs/>
                <w:sz w:val="21"/>
                <w:szCs w:val="21"/>
                <w:lang w:bidi="en-US"/>
              </w:rPr>
            </w:pPr>
            <w:r>
              <w:rPr>
                <w:b/>
                <w:bCs/>
                <w:sz w:val="21"/>
                <w:szCs w:val="21"/>
                <w:lang w:bidi="en-US"/>
              </w:rPr>
              <w:t>Uzasadnienie, opis</w:t>
            </w:r>
            <w:r>
              <w:rPr>
                <w:b/>
                <w:bCs/>
                <w:sz w:val="21"/>
                <w:szCs w:val="21"/>
                <w:lang w:bidi="en-US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993" w:type="dxa"/>
            <w:shd w:val="clear" w:color="auto" w:fill="FFFFFF"/>
          </w:tcPr>
          <w:p w14:paraId="26C01BD4" w14:textId="77777777" w:rsidR="006048E9" w:rsidRPr="00A32845" w:rsidRDefault="006048E9" w:rsidP="00B31464">
            <w:pPr>
              <w:tabs>
                <w:tab w:val="left" w:pos="4395"/>
              </w:tabs>
              <w:ind w:right="45"/>
              <w:rPr>
                <w:sz w:val="21"/>
                <w:szCs w:val="21"/>
                <w:lang w:bidi="en-US"/>
              </w:rPr>
            </w:pPr>
          </w:p>
        </w:tc>
      </w:tr>
    </w:tbl>
    <w:p w14:paraId="0471AC9A" w14:textId="5F2AD297" w:rsidR="00D77591" w:rsidRPr="00D77591" w:rsidRDefault="00D77591" w:rsidP="00D77591">
      <w:pPr>
        <w:widowControl w:val="0"/>
        <w:autoSpaceDE w:val="0"/>
        <w:autoSpaceDN w:val="0"/>
        <w:adjustRightInd w:val="0"/>
        <w:spacing w:before="95" w:after="160" w:line="256" w:lineRule="auto"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Metryczka:</w:t>
      </w:r>
    </w:p>
    <w:p w14:paraId="17F73FFA" w14:textId="77777777" w:rsidR="00D77591" w:rsidRPr="00D77591" w:rsidRDefault="00D77591" w:rsidP="00D775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Informacja o osobie wypełniającej</w:t>
      </w:r>
    </w:p>
    <w:p w14:paraId="035E1DDC" w14:textId="77777777" w:rsidR="00D77591" w:rsidRPr="00D77591" w:rsidRDefault="00D77591" w:rsidP="00D7759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 xml:space="preserve">Osoba fizyczna nie prowadząca działalności </w:t>
      </w:r>
      <w:proofErr w:type="spellStart"/>
      <w:r w:rsidRPr="00D77591">
        <w:rPr>
          <w:rFonts w:eastAsiaTheme="minorHAnsi" w:cstheme="minorHAnsi"/>
          <w:i/>
          <w:sz w:val="24"/>
          <w:szCs w:val="24"/>
        </w:rPr>
        <w:t>gosp</w:t>
      </w:r>
      <w:proofErr w:type="spellEnd"/>
    </w:p>
    <w:p w14:paraId="4CAC31B3" w14:textId="77777777" w:rsidR="00D77591" w:rsidRPr="00D77591" w:rsidRDefault="00D77591" w:rsidP="00D7759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Przedsiębiorca</w:t>
      </w:r>
    </w:p>
    <w:p w14:paraId="04FB8363" w14:textId="77777777" w:rsidR="00D77591" w:rsidRPr="00D77591" w:rsidRDefault="00D77591" w:rsidP="00D7759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Reprezentant organizacji pozarządowej</w:t>
      </w:r>
    </w:p>
    <w:p w14:paraId="3FEC1AE5" w14:textId="77777777" w:rsidR="00D77591" w:rsidRPr="00D77591" w:rsidRDefault="00D77591" w:rsidP="00D7759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Reprezentant instytucji (</w:t>
      </w:r>
      <w:proofErr w:type="spellStart"/>
      <w:r w:rsidRPr="00D77591">
        <w:rPr>
          <w:rFonts w:eastAsiaTheme="minorHAnsi" w:cstheme="minorHAnsi"/>
          <w:i/>
          <w:sz w:val="24"/>
          <w:szCs w:val="24"/>
        </w:rPr>
        <w:t>jst</w:t>
      </w:r>
      <w:proofErr w:type="spellEnd"/>
      <w:r w:rsidRPr="00D77591">
        <w:rPr>
          <w:rFonts w:eastAsiaTheme="minorHAnsi" w:cstheme="minorHAnsi"/>
          <w:i/>
          <w:sz w:val="24"/>
          <w:szCs w:val="24"/>
        </w:rPr>
        <w:t xml:space="preserve">, </w:t>
      </w:r>
      <w:proofErr w:type="spellStart"/>
      <w:r w:rsidRPr="00D77591">
        <w:rPr>
          <w:rFonts w:eastAsiaTheme="minorHAnsi" w:cstheme="minorHAnsi"/>
          <w:i/>
          <w:sz w:val="24"/>
          <w:szCs w:val="24"/>
        </w:rPr>
        <w:t>gok</w:t>
      </w:r>
      <w:proofErr w:type="spellEnd"/>
      <w:r w:rsidRPr="00D77591">
        <w:rPr>
          <w:rFonts w:eastAsiaTheme="minorHAnsi" w:cstheme="minorHAnsi"/>
          <w:i/>
          <w:sz w:val="24"/>
          <w:szCs w:val="24"/>
        </w:rPr>
        <w:t xml:space="preserve"> itp.) współpracującej z LGD</w:t>
      </w:r>
    </w:p>
    <w:p w14:paraId="6578E039" w14:textId="3CB1B9FA" w:rsidR="007E3E9A" w:rsidRPr="006048E9" w:rsidRDefault="00D77591" w:rsidP="00CD205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95" w:after="160" w:line="256" w:lineRule="auto"/>
        <w:contextualSpacing/>
        <w:jc w:val="left"/>
        <w:rPr>
          <w:rFonts w:eastAsiaTheme="minorHAnsi" w:cstheme="minorHAnsi"/>
          <w:i/>
          <w:sz w:val="24"/>
          <w:szCs w:val="24"/>
        </w:rPr>
      </w:pPr>
      <w:r w:rsidRPr="00D77591">
        <w:rPr>
          <w:rFonts w:eastAsiaTheme="minorHAnsi" w:cstheme="minorHAnsi"/>
          <w:i/>
          <w:sz w:val="24"/>
          <w:szCs w:val="24"/>
        </w:rPr>
        <w:t>Inne, jakie …………………..</w:t>
      </w:r>
    </w:p>
    <w:p w14:paraId="32EA78EF" w14:textId="09DC5A17" w:rsidR="00BF67BC" w:rsidRPr="006048E9" w:rsidRDefault="00D77591" w:rsidP="006048E9">
      <w:pPr>
        <w:widowControl w:val="0"/>
        <w:autoSpaceDE w:val="0"/>
        <w:autoSpaceDN w:val="0"/>
        <w:adjustRightInd w:val="0"/>
        <w:spacing w:before="95" w:after="160" w:line="256" w:lineRule="auto"/>
        <w:contextualSpacing/>
        <w:jc w:val="right"/>
        <w:rPr>
          <w:rFonts w:eastAsiaTheme="minorHAnsi" w:cstheme="minorHAnsi"/>
          <w:b/>
          <w:bCs/>
          <w:i/>
          <w:sz w:val="28"/>
          <w:szCs w:val="28"/>
        </w:rPr>
      </w:pPr>
      <w:r w:rsidRPr="006048E9">
        <w:rPr>
          <w:rFonts w:eastAsiaTheme="minorHAnsi" w:cstheme="minorHAnsi"/>
          <w:b/>
          <w:bCs/>
          <w:i/>
          <w:sz w:val="28"/>
          <w:szCs w:val="28"/>
        </w:rPr>
        <w:t>Dziękujemy za wypełnienie ankiety</w:t>
      </w:r>
    </w:p>
    <w:sectPr w:rsidR="00BF67BC" w:rsidRPr="006048E9" w:rsidSect="007E3E9A">
      <w:headerReference w:type="default" r:id="rId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4356" w14:textId="77777777" w:rsidR="00A92F0E" w:rsidRDefault="00A92F0E" w:rsidP="00D77591">
      <w:r>
        <w:separator/>
      </w:r>
    </w:p>
  </w:endnote>
  <w:endnote w:type="continuationSeparator" w:id="0">
    <w:p w14:paraId="2CC2AB19" w14:textId="77777777" w:rsidR="00A92F0E" w:rsidRDefault="00A92F0E" w:rsidP="00D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57EC" w14:textId="77777777" w:rsidR="00A92F0E" w:rsidRDefault="00A92F0E" w:rsidP="00D77591">
      <w:r>
        <w:separator/>
      </w:r>
    </w:p>
  </w:footnote>
  <w:footnote w:type="continuationSeparator" w:id="0">
    <w:p w14:paraId="79D9D886" w14:textId="77777777" w:rsidR="00A92F0E" w:rsidRDefault="00A92F0E" w:rsidP="00D7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8611" w14:textId="54A2CF62" w:rsidR="00D77591" w:rsidRDefault="00D77591" w:rsidP="00D77591">
    <w:pPr>
      <w:pStyle w:val="Nagwek"/>
      <w:jc w:val="center"/>
    </w:pPr>
    <w:r>
      <w:rPr>
        <w:noProof/>
      </w:rPr>
      <w:drawing>
        <wp:inline distT="0" distB="0" distL="0" distR="0" wp14:anchorId="7FBB3751" wp14:editId="48B4A175">
          <wp:extent cx="3150870" cy="57203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black_white_low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539" cy="58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AC031" w14:textId="10B7A277" w:rsidR="00D77591" w:rsidRPr="00D77591" w:rsidRDefault="00D77591" w:rsidP="00D77591">
    <w:pPr>
      <w:pStyle w:val="Nagwek"/>
      <w:jc w:val="center"/>
      <w:rPr>
        <w:sz w:val="18"/>
        <w:szCs w:val="18"/>
      </w:rPr>
    </w:pPr>
    <w:r w:rsidRPr="008600B0">
      <w:rPr>
        <w:sz w:val="18"/>
        <w:szCs w:val="18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1B75"/>
    <w:multiLevelType w:val="multilevel"/>
    <w:tmpl w:val="51FE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72"/>
    <w:rsid w:val="002862B7"/>
    <w:rsid w:val="002E4F2B"/>
    <w:rsid w:val="00403F7C"/>
    <w:rsid w:val="005461E4"/>
    <w:rsid w:val="006048E9"/>
    <w:rsid w:val="00773A75"/>
    <w:rsid w:val="007E3E9A"/>
    <w:rsid w:val="00847E7F"/>
    <w:rsid w:val="00994572"/>
    <w:rsid w:val="00A32845"/>
    <w:rsid w:val="00A92F0E"/>
    <w:rsid w:val="00BF67BC"/>
    <w:rsid w:val="00CD2058"/>
    <w:rsid w:val="00D77591"/>
    <w:rsid w:val="00DB15CA"/>
    <w:rsid w:val="00F06987"/>
    <w:rsid w:val="00F21FCB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5B22"/>
  <w15:chartTrackingRefBased/>
  <w15:docId w15:val="{13427085-7CE3-46FF-806B-BBE96B1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67BC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591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D77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591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8</cp:revision>
  <cp:lastPrinted>2019-10-15T06:31:00Z</cp:lastPrinted>
  <dcterms:created xsi:type="dcterms:W3CDTF">2019-10-09T12:06:00Z</dcterms:created>
  <dcterms:modified xsi:type="dcterms:W3CDTF">2019-10-15T07:14:00Z</dcterms:modified>
</cp:coreProperties>
</file>