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A8A7" w14:textId="77777777" w:rsidR="00D77591" w:rsidRDefault="00D77591" w:rsidP="00D77591">
      <w:pPr>
        <w:jc w:val="center"/>
        <w:rPr>
          <w:b/>
          <w:bCs/>
        </w:rPr>
      </w:pPr>
    </w:p>
    <w:p w14:paraId="7944BC98" w14:textId="66A69354" w:rsidR="005C3BB0" w:rsidRPr="00DD2FDA" w:rsidRDefault="00BF67BC" w:rsidP="00DD2FDA">
      <w:pPr>
        <w:jc w:val="center"/>
        <w:rPr>
          <w:b/>
          <w:bCs/>
          <w:caps/>
          <w:color w:val="000099"/>
          <w:sz w:val="24"/>
          <w:szCs w:val="24"/>
        </w:rPr>
      </w:pPr>
      <w:r w:rsidRPr="00DD2FDA">
        <w:rPr>
          <w:b/>
          <w:bCs/>
          <w:caps/>
          <w:color w:val="000099"/>
          <w:sz w:val="24"/>
          <w:szCs w:val="24"/>
        </w:rPr>
        <w:t>Ankieta</w:t>
      </w:r>
      <w:r w:rsidR="00D77591" w:rsidRPr="00DD2FDA">
        <w:rPr>
          <w:b/>
          <w:bCs/>
          <w:caps/>
          <w:color w:val="000099"/>
          <w:sz w:val="24"/>
          <w:szCs w:val="24"/>
        </w:rPr>
        <w:t xml:space="preserve"> badająca </w:t>
      </w:r>
      <w:r w:rsidR="00A32845" w:rsidRPr="00DD2FDA">
        <w:rPr>
          <w:b/>
          <w:bCs/>
          <w:caps/>
          <w:color w:val="000099"/>
          <w:sz w:val="24"/>
          <w:szCs w:val="24"/>
        </w:rPr>
        <w:t xml:space="preserve">pożądane </w:t>
      </w:r>
      <w:r w:rsidR="00D77591" w:rsidRPr="00DD2FDA">
        <w:rPr>
          <w:b/>
          <w:bCs/>
          <w:caps/>
          <w:color w:val="000099"/>
          <w:sz w:val="24"/>
          <w:szCs w:val="24"/>
        </w:rPr>
        <w:t>kierunki</w:t>
      </w:r>
      <w:r w:rsidRPr="00DD2FDA">
        <w:rPr>
          <w:b/>
          <w:bCs/>
          <w:caps/>
          <w:color w:val="000099"/>
          <w:sz w:val="24"/>
          <w:szCs w:val="24"/>
        </w:rPr>
        <w:t xml:space="preserve"> </w:t>
      </w:r>
      <w:r w:rsidR="005C3BB0" w:rsidRPr="00DD2FDA">
        <w:rPr>
          <w:b/>
          <w:bCs/>
          <w:caps/>
          <w:color w:val="000099"/>
          <w:sz w:val="24"/>
          <w:szCs w:val="24"/>
        </w:rPr>
        <w:t xml:space="preserve">ogłaszania naborów dla mieszkańców </w:t>
      </w:r>
      <w:r w:rsidR="005C3BB0" w:rsidRPr="00DD2FDA">
        <w:rPr>
          <w:b/>
          <w:bCs/>
          <w:caps/>
          <w:color w:val="000099"/>
          <w:sz w:val="24"/>
          <w:szCs w:val="24"/>
        </w:rPr>
        <w:br/>
        <w:t xml:space="preserve">w ramach dodatkowych środków </w:t>
      </w:r>
    </w:p>
    <w:p w14:paraId="314DAED0" w14:textId="77777777" w:rsidR="00446ABE" w:rsidRDefault="00446ABE" w:rsidP="00DD2FDA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</w:p>
    <w:p w14:paraId="5D040868" w14:textId="486A4E61" w:rsidR="005C3BB0" w:rsidRPr="00DD2FDA" w:rsidRDefault="005C3BB0" w:rsidP="00DD2FDA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  <w:r w:rsidRPr="00DD2FDA">
        <w:rPr>
          <w:rFonts w:ascii="Arial Narrow" w:hAnsi="Arial Narrow"/>
          <w:sz w:val="22"/>
          <w:szCs w:val="22"/>
        </w:rPr>
        <w:t xml:space="preserve">W związku z rozporządzeniem Parlamentu Europejskiego i Rady (UE) 2020/2220 z dnia 23 grudnia 2020 r. ustanawiającym niektóre przepisy przejściowe dotyczące wsparcia z Europejskiego Funduszu Rolnego na rzecz Rozwoju Obszarów Wiejskich (EFRROW) i z Europejskiego Funduszu Rolniczego Gwarancji (EFRG) w latach 2021 i 2022 oraz zmieniającym rozporządzenia (UE) nr 1305/2013, (UE) nr 1306/2013 i (UE) nr 1307/2013 w odniesieniu do zasobów i stosowania w latach 2021 i 2022 oraz rozporządzenie (UE) nr 1308/2013 w odniesieniu do zasobów i rozdziału takiego wsparcia na lata 2021 i 2022 oraz procedowaną w związku z tym zmianą Programu Rozwoju Obszarów Wiejskich na lata 2014-2020 (PROW 2014-2020), Podhalańska Lokalna Grupa Działania może ubiegać się o dodatkowe środki do budżetu LSR w ramach PROW 2014-2020. </w:t>
      </w:r>
    </w:p>
    <w:p w14:paraId="5561F4BB" w14:textId="0EC0C998" w:rsidR="00657AC6" w:rsidRPr="00DD2FDA" w:rsidRDefault="005C3BB0" w:rsidP="00DD2FDA">
      <w:pPr>
        <w:ind w:firstLine="708"/>
        <w:rPr>
          <w:b/>
          <w:bCs/>
        </w:rPr>
      </w:pPr>
      <w:r w:rsidRPr="00DD2FDA">
        <w:rPr>
          <w:b/>
          <w:bCs/>
        </w:rPr>
        <w:t xml:space="preserve">Zgodnie z przedstawioną przez Ministra Rolnictwa i Rozwoju Wsi procedurą ubiegania się o dodatkowe środki na realizację podejścia LEADER, </w:t>
      </w:r>
      <w:r w:rsidRPr="00DD2FDA">
        <w:rPr>
          <w:b/>
          <w:bCs/>
        </w:rPr>
        <w:t xml:space="preserve">Podhalańska LGD może </w:t>
      </w:r>
      <w:r w:rsidRPr="00DD2FDA">
        <w:rPr>
          <w:b/>
          <w:bCs/>
        </w:rPr>
        <w:t>ubiegać o zwiększenie środków przeznaczonych na wdrażanie lokalnych strategii rozwoju (poddziałanie 19.2)</w:t>
      </w:r>
      <w:r w:rsidRPr="00DD2FDA">
        <w:rPr>
          <w:b/>
          <w:bCs/>
        </w:rPr>
        <w:t xml:space="preserve"> w maksymalnej wysokości </w:t>
      </w:r>
      <w:r w:rsidR="00657AC6" w:rsidRPr="00DD2FDA">
        <w:rPr>
          <w:b/>
          <w:bCs/>
        </w:rPr>
        <w:t>523 000,00 EURO</w:t>
      </w:r>
      <w:r w:rsidR="00D275E5" w:rsidRPr="00DD2FDA">
        <w:rPr>
          <w:b/>
          <w:bCs/>
        </w:rPr>
        <w:t xml:space="preserve"> </w:t>
      </w:r>
      <w:r w:rsidR="00D275E5" w:rsidRPr="00DD2FDA">
        <w:rPr>
          <w:b/>
          <w:bCs/>
        </w:rPr>
        <w:br/>
        <w:t>(2 092 000 zł wg kursu euro 4zł)</w:t>
      </w:r>
    </w:p>
    <w:p w14:paraId="3831BC06" w14:textId="24CEDB0C" w:rsidR="00657AC6" w:rsidRPr="00DD2FDA" w:rsidRDefault="00D275E5" w:rsidP="00DD2FDA">
      <w:pPr>
        <w:ind w:firstLine="708"/>
      </w:pPr>
      <w:r w:rsidRPr="00DD2FDA">
        <w:t>Mamy czas do 30 czerwca</w:t>
      </w:r>
      <w:r w:rsidR="00657AC6" w:rsidRPr="00DD2FDA">
        <w:t xml:space="preserve"> aby przygotować odpowiednie dokumenty i aplikować o dodatkowe środki</w:t>
      </w:r>
      <w:r w:rsidRPr="00DD2FDA">
        <w:t>,</w:t>
      </w:r>
      <w:r w:rsidR="00657AC6" w:rsidRPr="00DD2FDA">
        <w:t xml:space="preserve"> z których będą mogli Państwo skorzystać, dlatego liczymy na wasze opinie, które pomogą odpowiednio podzielić te środki na przedsięwzięcia.</w:t>
      </w:r>
      <w:r w:rsidR="00DD2FDA">
        <w:t xml:space="preserve"> </w:t>
      </w:r>
      <w:r w:rsidR="00657AC6" w:rsidRPr="00DD2FDA">
        <w:t xml:space="preserve">Niezależnie od wyników </w:t>
      </w:r>
      <w:r w:rsidRPr="00DD2FDA">
        <w:t xml:space="preserve">ankiet, zgodnie z wytycznymi </w:t>
      </w:r>
      <w:proofErr w:type="spellStart"/>
      <w:r w:rsidRPr="00DD2FDA">
        <w:t>MRiRW</w:t>
      </w:r>
      <w:proofErr w:type="spellEnd"/>
      <w:r w:rsidRPr="00DD2FDA">
        <w:t xml:space="preserve"> minimum 35% tych środków będzie przeznaczone na przedsięwzięcie 2.1.1. Premia na Start</w:t>
      </w:r>
    </w:p>
    <w:p w14:paraId="40DB147F" w14:textId="119D4DF1" w:rsidR="00BF67BC" w:rsidRPr="00DD2FDA" w:rsidRDefault="0042594C" w:rsidP="00DD2FDA">
      <w:pPr>
        <w:ind w:firstLine="708"/>
        <w:rPr>
          <w:b/>
          <w:bCs/>
        </w:rPr>
      </w:pPr>
      <w:r w:rsidRPr="00DD2FDA">
        <w:rPr>
          <w:b/>
          <w:bCs/>
        </w:rPr>
        <w:t xml:space="preserve">W związku z krótkim czasem jaki mamy na opracowanie zmian w LSR </w:t>
      </w:r>
      <w:r w:rsidR="00DD2FDA" w:rsidRPr="00DD2FDA">
        <w:rPr>
          <w:b/>
          <w:bCs/>
        </w:rPr>
        <w:t>Państwa opinie w formie ankiet zbieramy do dnia 13.06.2021 r. Wypełnioną ankietę można złożyć osobiście w biurze PLGD w Szaflarach</w:t>
      </w:r>
      <w:r w:rsidR="00446ABE">
        <w:rPr>
          <w:b/>
          <w:bCs/>
        </w:rPr>
        <w:t xml:space="preserve"> lub </w:t>
      </w:r>
      <w:r w:rsidR="00DD2FDA" w:rsidRPr="00DD2FDA">
        <w:rPr>
          <w:b/>
          <w:bCs/>
        </w:rPr>
        <w:t xml:space="preserve">mailowo na adres </w:t>
      </w:r>
      <w:hyperlink r:id="rId7" w:history="1">
        <w:r w:rsidR="00DD2FDA" w:rsidRPr="00DD2FDA">
          <w:rPr>
            <w:rStyle w:val="Hipercze"/>
            <w:b/>
            <w:bCs/>
          </w:rPr>
          <w:t>info@podhalanska.pl</w:t>
        </w:r>
      </w:hyperlink>
      <w:r w:rsidR="00446ABE">
        <w:rPr>
          <w:b/>
          <w:bCs/>
        </w:rPr>
        <w:t>.</w:t>
      </w:r>
    </w:p>
    <w:p w14:paraId="7DF0A711" w14:textId="065467F9" w:rsidR="00CD2058" w:rsidRPr="00DD2FDA" w:rsidRDefault="00BF67BC">
      <w:pPr>
        <w:rPr>
          <w:b/>
          <w:bCs/>
        </w:rPr>
      </w:pPr>
      <w:r w:rsidRPr="00DD2FDA">
        <w:rPr>
          <w:b/>
          <w:bCs/>
        </w:rPr>
        <w:t>Prosimy o zaznaczenie</w:t>
      </w:r>
      <w:r w:rsidR="00773A75" w:rsidRPr="00DD2FDA">
        <w:rPr>
          <w:b/>
          <w:bCs/>
        </w:rPr>
        <w:t xml:space="preserve"> </w:t>
      </w:r>
      <w:r w:rsidR="0042594C" w:rsidRPr="00DD2FDA">
        <w:rPr>
          <w:b/>
          <w:bCs/>
        </w:rPr>
        <w:t xml:space="preserve">w ramach każdego celu ogólnego maksymalnie </w:t>
      </w:r>
      <w:r w:rsidR="00773A75" w:rsidRPr="00DD2FDA">
        <w:rPr>
          <w:b/>
          <w:bCs/>
        </w:rPr>
        <w:t>jednego</w:t>
      </w:r>
      <w:r w:rsidRPr="00DD2FDA">
        <w:rPr>
          <w:b/>
          <w:bCs/>
        </w:rPr>
        <w:t xml:space="preserve"> najbardziej preferow</w:t>
      </w:r>
      <w:r w:rsidR="00773A75" w:rsidRPr="00DD2FDA">
        <w:rPr>
          <w:b/>
          <w:bCs/>
        </w:rPr>
        <w:t>anego</w:t>
      </w:r>
      <w:r w:rsidRPr="00DD2FDA">
        <w:rPr>
          <w:b/>
          <w:bCs/>
        </w:rPr>
        <w:t xml:space="preserve"> przedsięwzię</w:t>
      </w:r>
      <w:r w:rsidR="00773A75" w:rsidRPr="00DD2FDA">
        <w:rPr>
          <w:b/>
          <w:bCs/>
        </w:rPr>
        <w:t>cia</w:t>
      </w:r>
      <w:r w:rsidRPr="00DD2FDA">
        <w:rPr>
          <w:b/>
          <w:bCs/>
        </w:rPr>
        <w:t xml:space="preserve"> </w:t>
      </w:r>
      <w:r w:rsidR="00657AC6" w:rsidRPr="00DD2FDA">
        <w:rPr>
          <w:b/>
          <w:bCs/>
        </w:rPr>
        <w:t xml:space="preserve">w ramach którego Pana/Pani zdaniem należy przeznaczyć dodatkowe środki w ramach naborów lub przedsięwzięcia w ramach którego osobiście złoży Pan/Pani wniosek </w:t>
      </w:r>
      <w:r w:rsidR="00773A75" w:rsidRPr="00DD2FDA">
        <w:rPr>
          <w:b/>
          <w:bCs/>
        </w:rPr>
        <w:t>i</w:t>
      </w:r>
      <w:r w:rsidR="007E3E9A" w:rsidRPr="00DD2FDA">
        <w:rPr>
          <w:b/>
          <w:bCs/>
        </w:rPr>
        <w:t xml:space="preserve"> </w:t>
      </w:r>
      <w:r w:rsidR="00657AC6" w:rsidRPr="00DD2FDA">
        <w:rPr>
          <w:b/>
          <w:bCs/>
        </w:rPr>
        <w:t>wykazuje</w:t>
      </w:r>
      <w:r w:rsidR="00773A75" w:rsidRPr="00DD2FDA">
        <w:rPr>
          <w:b/>
          <w:bCs/>
        </w:rPr>
        <w:t xml:space="preserve"> pełną gotowość do </w:t>
      </w:r>
      <w:r w:rsidR="00657AC6" w:rsidRPr="00DD2FDA">
        <w:rPr>
          <w:b/>
          <w:bCs/>
        </w:rPr>
        <w:t xml:space="preserve">jego </w:t>
      </w:r>
      <w:r w:rsidR="00773A75" w:rsidRPr="00DD2FDA">
        <w:rPr>
          <w:b/>
          <w:bCs/>
        </w:rPr>
        <w:t>realizacji</w:t>
      </w:r>
      <w:r w:rsidR="00657AC6" w:rsidRPr="00DD2FDA">
        <w:rPr>
          <w:b/>
          <w:bCs/>
        </w:rPr>
        <w:t>.</w:t>
      </w:r>
    </w:p>
    <w:tbl>
      <w:tblPr>
        <w:tblW w:w="10632" w:type="dxa"/>
        <w:tblInd w:w="-431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6946"/>
        <w:gridCol w:w="708"/>
      </w:tblGrid>
      <w:tr w:rsidR="007E3E9A" w:rsidRPr="008E179D" w14:paraId="55292654" w14:textId="23A7C6E2" w:rsidTr="00DD2FDA">
        <w:trPr>
          <w:trHeight w:val="569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B054937" w14:textId="77777777" w:rsidR="00D77591" w:rsidRPr="008E179D" w:rsidRDefault="00D77591" w:rsidP="00B31464">
            <w:pPr>
              <w:tabs>
                <w:tab w:val="left" w:pos="4395"/>
              </w:tabs>
              <w:ind w:left="-212" w:right="45"/>
              <w:jc w:val="center"/>
              <w:rPr>
                <w:color w:val="FFFFFF"/>
              </w:rPr>
            </w:pPr>
            <w:r w:rsidRPr="008E179D">
              <w:rPr>
                <w:color w:val="FFFFFF"/>
              </w:rPr>
              <w:t>Nr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34D69434" w14:textId="77777777" w:rsidR="00D77591" w:rsidRPr="008E179D" w:rsidRDefault="00D77591" w:rsidP="00D77591">
            <w:pPr>
              <w:tabs>
                <w:tab w:val="left" w:pos="4395"/>
              </w:tabs>
              <w:ind w:right="45"/>
              <w:jc w:val="center"/>
              <w:rPr>
                <w:color w:val="FFFFFF"/>
              </w:rPr>
            </w:pPr>
            <w:r w:rsidRPr="008E179D">
              <w:rPr>
                <w:color w:val="FFFFFF"/>
              </w:rPr>
              <w:t>Nazwa przedsięwzięcia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270064D6" w14:textId="77777777" w:rsidR="00D77591" w:rsidRPr="00D77591" w:rsidRDefault="00D77591" w:rsidP="00B31464">
            <w:pPr>
              <w:tabs>
                <w:tab w:val="left" w:pos="4395"/>
              </w:tabs>
              <w:ind w:right="45"/>
              <w:jc w:val="center"/>
              <w:rPr>
                <w:color w:val="FFFFFF"/>
                <w:sz w:val="20"/>
                <w:szCs w:val="20"/>
              </w:rPr>
            </w:pPr>
            <w:r w:rsidRPr="00D77591">
              <w:rPr>
                <w:color w:val="FFFFFF"/>
                <w:sz w:val="20"/>
                <w:szCs w:val="20"/>
              </w:rPr>
              <w:t>Opis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</w:tcPr>
          <w:p w14:paraId="768585A5" w14:textId="00891358" w:rsidR="00D77591" w:rsidRPr="008E179D" w:rsidRDefault="00D77591" w:rsidP="00B31464">
            <w:pPr>
              <w:tabs>
                <w:tab w:val="left" w:pos="4395"/>
              </w:tabs>
              <w:ind w:right="4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TAK </w:t>
            </w:r>
            <w:r w:rsidR="00DD2FDA">
              <w:rPr>
                <w:color w:val="FFFFFF"/>
                <w:sz w:val="18"/>
                <w:szCs w:val="18"/>
              </w:rPr>
              <w:t xml:space="preserve">= </w:t>
            </w:r>
            <w:r w:rsidRPr="00D77591">
              <w:rPr>
                <w:color w:val="FFFFFF"/>
                <w:sz w:val="28"/>
                <w:szCs w:val="28"/>
              </w:rPr>
              <w:t>X</w:t>
            </w:r>
          </w:p>
        </w:tc>
      </w:tr>
      <w:tr w:rsidR="0042594C" w:rsidRPr="008E179D" w14:paraId="06F51502" w14:textId="77777777" w:rsidTr="00DD2FDA">
        <w:trPr>
          <w:trHeight w:val="407"/>
        </w:trPr>
        <w:tc>
          <w:tcPr>
            <w:tcW w:w="1063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47A458F2" w14:textId="2D8C4828" w:rsidR="0042594C" w:rsidRPr="00E7784E" w:rsidRDefault="0042594C" w:rsidP="0042594C">
            <w:pPr>
              <w:tabs>
                <w:tab w:val="left" w:pos="4395"/>
              </w:tabs>
              <w:jc w:val="center"/>
              <w:rPr>
                <w:b/>
                <w:bCs/>
                <w:color w:val="FFFFFF"/>
              </w:rPr>
            </w:pPr>
            <w:r w:rsidRPr="00E7784E">
              <w:rPr>
                <w:b/>
                <w:bCs/>
                <w:color w:val="FFFFFF" w:themeColor="background1"/>
              </w:rPr>
              <w:t xml:space="preserve">Cel ogólny 1. </w:t>
            </w:r>
            <w:r w:rsidR="00E7784E">
              <w:rPr>
                <w:b/>
                <w:bCs/>
                <w:color w:val="FFFFFF" w:themeColor="background1"/>
              </w:rPr>
              <w:t xml:space="preserve">  </w:t>
            </w:r>
            <w:r w:rsidRPr="00E7784E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Zwiększenie atrakcyjności obszaru PLGD jako miejsca zamieszkania i wypoczynku</w:t>
            </w:r>
          </w:p>
        </w:tc>
      </w:tr>
      <w:tr w:rsidR="00D77591" w:rsidRPr="00DC34C0" w14:paraId="3AFAA6FE" w14:textId="7B64F7F5" w:rsidTr="00DD2FDA">
        <w:trPr>
          <w:trHeight w:val="1546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  <w:hideMark/>
          </w:tcPr>
          <w:p w14:paraId="26B05463" w14:textId="77777777" w:rsidR="00D77591" w:rsidRPr="00A32845" w:rsidRDefault="00D77591" w:rsidP="00B31464">
            <w:pPr>
              <w:tabs>
                <w:tab w:val="left" w:pos="4395"/>
              </w:tabs>
              <w:ind w:left="-212" w:right="45"/>
              <w:jc w:val="right"/>
              <w:rPr>
                <w:b/>
                <w:color w:val="FFFFFF"/>
                <w:sz w:val="21"/>
                <w:szCs w:val="21"/>
              </w:rPr>
            </w:pPr>
            <w:r w:rsidRPr="00A32845">
              <w:rPr>
                <w:b/>
                <w:color w:val="FFFFFF"/>
                <w:sz w:val="21"/>
                <w:szCs w:val="21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14:paraId="55A214B5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A32845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Tworzenie i rozwój ogólnodostępnej niekomercyjnej infrastruktury </w:t>
            </w:r>
            <w:r w:rsidRPr="00A32845">
              <w:rPr>
                <w:rFonts w:eastAsia="Times New Roman"/>
                <w:sz w:val="21"/>
                <w:szCs w:val="21"/>
                <w:lang w:eastAsia="pl-PL"/>
              </w:rPr>
              <w:t>turystycznej, rekreacyjnej, sportowej kulturalnej</w:t>
            </w:r>
          </w:p>
        </w:tc>
        <w:tc>
          <w:tcPr>
            <w:tcW w:w="6946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  <w:hideMark/>
          </w:tcPr>
          <w:p w14:paraId="46014D2E" w14:textId="32024BF5" w:rsidR="0042594C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A32845">
              <w:rPr>
                <w:sz w:val="21"/>
                <w:szCs w:val="21"/>
              </w:rPr>
              <w:t xml:space="preserve">Projekty dotyczące budowy, przebudowy, modernizacji oraz zakupu wyposażenia obiektów i miejsc o charakterze turystycznym, rekreacyjnym, sportowym i kulturalnym, takich jak np. zagospodarowanie centrów wsi, miejsc wypoczynkowych, oznakowania miejscowości, przysiółków, szlaków/tras turystycznych/ wypoczynkowych, boiska sportowe, place zabaw, siłownie zewnętrzne, inwestycje w obiektach sportowych, kulturalnych oraz </w:t>
            </w:r>
            <w:r w:rsidR="00DD2FDA">
              <w:rPr>
                <w:sz w:val="21"/>
                <w:szCs w:val="21"/>
              </w:rPr>
              <w:t>podobne.</w:t>
            </w: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shd w:val="clear" w:color="auto" w:fill="FFFFFF"/>
          </w:tcPr>
          <w:p w14:paraId="6B897D4B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6B69CAC7" w14:textId="452C8668" w:rsidTr="00DD2FDA">
        <w:trPr>
          <w:trHeight w:val="841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  <w:hideMark/>
          </w:tcPr>
          <w:p w14:paraId="24D1AC38" w14:textId="77777777" w:rsidR="00D77591" w:rsidRPr="00A32845" w:rsidRDefault="00D77591" w:rsidP="00B31464">
            <w:pPr>
              <w:tabs>
                <w:tab w:val="left" w:pos="4395"/>
              </w:tabs>
              <w:ind w:left="-212" w:right="45"/>
              <w:jc w:val="right"/>
              <w:rPr>
                <w:b/>
                <w:color w:val="FFFFFF"/>
                <w:sz w:val="21"/>
                <w:szCs w:val="21"/>
              </w:rPr>
            </w:pPr>
            <w:r w:rsidRPr="00A32845">
              <w:rPr>
                <w:b/>
                <w:color w:val="FFFFFF"/>
                <w:sz w:val="21"/>
                <w:szCs w:val="21"/>
              </w:rPr>
              <w:t>1.1.2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14:paraId="1AC8A2E2" w14:textId="77777777" w:rsidR="00D77591" w:rsidRPr="0042594C" w:rsidRDefault="00D77591" w:rsidP="00B31464">
            <w:pPr>
              <w:tabs>
                <w:tab w:val="left" w:pos="4395"/>
              </w:tabs>
              <w:autoSpaceDE w:val="0"/>
              <w:autoSpaceDN w:val="0"/>
              <w:adjustRightInd w:val="0"/>
              <w:ind w:right="45"/>
              <w:rPr>
                <w:sz w:val="21"/>
                <w:szCs w:val="21"/>
              </w:rPr>
            </w:pPr>
            <w:r w:rsidRPr="0042594C">
              <w:rPr>
                <w:color w:val="000000"/>
                <w:sz w:val="21"/>
                <w:szCs w:val="21"/>
              </w:rPr>
              <w:t>Polepszenie oferty spędzania wolnego czasu poprzez zajęcia sportowe, rekreacyjne, ekologiczne</w:t>
            </w:r>
          </w:p>
        </w:tc>
        <w:tc>
          <w:tcPr>
            <w:tcW w:w="6946" w:type="dxa"/>
            <w:shd w:val="clear" w:color="auto" w:fill="FFFFFF"/>
            <w:vAlign w:val="center"/>
            <w:hideMark/>
          </w:tcPr>
          <w:p w14:paraId="7A6BE282" w14:textId="77777777" w:rsidR="00D77591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42594C">
              <w:rPr>
                <w:sz w:val="21"/>
                <w:szCs w:val="21"/>
              </w:rPr>
              <w:t xml:space="preserve">Wydarzenia, imprezy, spotkania, warsztaty, festyny, pikniki i inne formy zajęć o charakterze sportowym, rekreacyjnym, ekologicznym; wsparciem planuje się objąć </w:t>
            </w:r>
            <w:r w:rsidRPr="0042594C">
              <w:rPr>
                <w:rFonts w:eastAsia="Times New Roman"/>
                <w:sz w:val="21"/>
                <w:szCs w:val="21"/>
                <w:lang w:bidi="en-US"/>
              </w:rPr>
              <w:t xml:space="preserve"> wydarzenia/działania ukierunkowane na zwiększanie aktywności fizycznej mieszkańców i  promujące aktywny tryb życia, np. wycieczki, rajdy, zawody sportowe, konkursy, imprezy </w:t>
            </w:r>
            <w:r w:rsidRPr="0042594C">
              <w:rPr>
                <w:sz w:val="21"/>
                <w:szCs w:val="21"/>
              </w:rPr>
              <w:t>skierowane zarówno do mieszkańców ale poszerzającą też ofertę spędzania czasu wolnego dla turystów;</w:t>
            </w:r>
          </w:p>
          <w:p w14:paraId="1E1D76F8" w14:textId="4A069AC2" w:rsidR="0042594C" w:rsidRPr="0042594C" w:rsidRDefault="0042594C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582D1BAC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772F60B0" w14:textId="558B71CC" w:rsidTr="00DD2FDA">
        <w:trPr>
          <w:trHeight w:val="70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  <w:hideMark/>
          </w:tcPr>
          <w:p w14:paraId="54952775" w14:textId="77777777" w:rsidR="00D77591" w:rsidRPr="00A32845" w:rsidRDefault="00D77591" w:rsidP="00B31464">
            <w:pPr>
              <w:tabs>
                <w:tab w:val="left" w:pos="4395"/>
              </w:tabs>
              <w:rPr>
                <w:b/>
                <w:color w:val="FFFFFF"/>
                <w:sz w:val="21"/>
                <w:szCs w:val="21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</w:rPr>
              <w:t>1.1.3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14:paraId="79179462" w14:textId="77777777" w:rsidR="00D77591" w:rsidRPr="00A32845" w:rsidRDefault="00D77591" w:rsidP="00B31464">
            <w:pPr>
              <w:tabs>
                <w:tab w:val="left" w:pos="4395"/>
              </w:tabs>
              <w:rPr>
                <w:sz w:val="21"/>
                <w:szCs w:val="21"/>
              </w:rPr>
            </w:pPr>
            <w:r w:rsidRPr="00A32845">
              <w:rPr>
                <w:rFonts w:eastAsia="Times New Roman"/>
                <w:sz w:val="21"/>
                <w:szCs w:val="21"/>
                <w:lang w:eastAsia="pl-PL"/>
              </w:rPr>
              <w:t>Podnoszenie świadomości społeczności lokalnej w zakresie ochrony środowiska, przeciwdziałania zmianom klimatu oraz promowanie działań proekologicznych</w:t>
            </w:r>
          </w:p>
        </w:tc>
        <w:tc>
          <w:tcPr>
            <w:tcW w:w="6946" w:type="dxa"/>
            <w:shd w:val="clear" w:color="auto" w:fill="FFFFFF"/>
            <w:vAlign w:val="center"/>
            <w:hideMark/>
          </w:tcPr>
          <w:p w14:paraId="5F3CE067" w14:textId="77777777" w:rsidR="00D77591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A32845">
              <w:rPr>
                <w:sz w:val="21"/>
                <w:szCs w:val="21"/>
              </w:rPr>
              <w:t xml:space="preserve">Różnego rodzaju projekty podnoszące wiedzę i świadomość mieszkańców zakresie ekologii, ochrony środowiska, przeciwdziałania zmianom klimatycznym, promowanie postaw </w:t>
            </w:r>
            <w:proofErr w:type="spellStart"/>
            <w:r w:rsidRPr="00A32845">
              <w:rPr>
                <w:sz w:val="21"/>
                <w:szCs w:val="21"/>
              </w:rPr>
              <w:t>prośrodowiskowych</w:t>
            </w:r>
            <w:proofErr w:type="spellEnd"/>
            <w:r w:rsidRPr="00A32845">
              <w:rPr>
                <w:sz w:val="21"/>
                <w:szCs w:val="21"/>
              </w:rPr>
              <w:t xml:space="preserve"> i proekologicznych, działania edukacyjne zachęcające do korzystania z rozwiązań innowacyjnych wykorzystujących OZE, np. pikniki ekologiczne, konkursy, działania edukacyjne: warsztaty, szkolenia, konferencje, spotkania i inne działania zbieżne z zakresem przedsięwzięcia.</w:t>
            </w:r>
          </w:p>
          <w:p w14:paraId="18A46E7D" w14:textId="3F87FE8B" w:rsidR="0042594C" w:rsidRPr="00A32845" w:rsidRDefault="0042594C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6199708E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7E3E9A" w14:paraId="3EDD9816" w14:textId="567FE26F" w:rsidTr="00DD2FDA">
        <w:trPr>
          <w:trHeight w:val="180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6F9D3160" w14:textId="77777777" w:rsidR="00D77591" w:rsidRPr="00A32845" w:rsidRDefault="00D77591" w:rsidP="00B31464">
            <w:pPr>
              <w:tabs>
                <w:tab w:val="left" w:pos="4395"/>
              </w:tabs>
              <w:rPr>
                <w:rFonts w:eastAsia="Times New Roman"/>
                <w:bCs/>
                <w:color w:val="FFFFFF"/>
                <w:sz w:val="21"/>
                <w:szCs w:val="21"/>
                <w:lang w:val="en-US" w:bidi="en-US"/>
              </w:rPr>
            </w:pPr>
            <w:r w:rsidRPr="00A32845">
              <w:rPr>
                <w:rFonts w:eastAsia="Times New Roman"/>
                <w:bCs/>
                <w:color w:val="FFFFFF"/>
                <w:sz w:val="21"/>
                <w:szCs w:val="21"/>
              </w:rPr>
              <w:t>1.2.1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7C7C3060" w14:textId="4DBCFF9A" w:rsidR="00D77591" w:rsidRPr="0042594C" w:rsidRDefault="00D77591" w:rsidP="00B31464">
            <w:pPr>
              <w:tabs>
                <w:tab w:val="left" w:pos="4395"/>
              </w:tabs>
              <w:rPr>
                <w:rFonts w:eastAsia="Times New Roman"/>
                <w:bCs/>
                <w:sz w:val="21"/>
                <w:szCs w:val="21"/>
                <w:lang w:bidi="en-US"/>
              </w:rPr>
            </w:pPr>
            <w:r w:rsidRPr="0042594C">
              <w:rPr>
                <w:rFonts w:eastAsia="Times New Roman"/>
                <w:bCs/>
                <w:color w:val="000000"/>
                <w:sz w:val="21"/>
                <w:szCs w:val="21"/>
                <w:lang w:eastAsia="pl-PL"/>
              </w:rPr>
              <w:t xml:space="preserve">Wzmacnianie tożsamości regionalnej oraz działania na rzecz integracji, aktywizacji i umacniania więzi lokalnych wśród mieszkańców obszaru 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358C07F" w14:textId="6667E46D" w:rsidR="0042594C" w:rsidRPr="0042594C" w:rsidRDefault="00D77591" w:rsidP="00B31464">
            <w:pPr>
              <w:tabs>
                <w:tab w:val="left" w:pos="4395"/>
              </w:tabs>
              <w:ind w:right="45"/>
              <w:rPr>
                <w:bCs/>
                <w:sz w:val="21"/>
                <w:szCs w:val="21"/>
              </w:rPr>
            </w:pPr>
            <w:r w:rsidRPr="0042594C">
              <w:rPr>
                <w:bCs/>
                <w:sz w:val="21"/>
                <w:szCs w:val="21"/>
              </w:rPr>
              <w:t>Warsztaty, spotkania, działania edukacyjno-kulturalne, konkursy, imprezy i inne wydarzenia/działania, a także operacje inwestycyjne np. zakup strojów regionalnych, instrumentów ludowych, wyposażenia, materiałów edukacyjnych dla zespołów/ grup nieformalnych/</w:t>
            </w:r>
            <w:r w:rsidR="0042594C">
              <w:rPr>
                <w:bCs/>
                <w:sz w:val="21"/>
                <w:szCs w:val="21"/>
              </w:rPr>
              <w:t xml:space="preserve"> </w:t>
            </w:r>
            <w:r w:rsidRPr="0042594C">
              <w:rPr>
                <w:bCs/>
                <w:sz w:val="21"/>
                <w:szCs w:val="21"/>
              </w:rPr>
              <w:t>organizacji, wydawanie publikacji, materiałów informujących i promujących kulturę regionu, nagrania audiowizualne, oraz inne projekty przyczyniające się do kultywowania tradycji lokalnych i wzmacniania tożsamości regionalnej, więzi lokalnych, integrację i aktywizację mieszkańców;</w:t>
            </w:r>
          </w:p>
        </w:tc>
        <w:tc>
          <w:tcPr>
            <w:tcW w:w="708" w:type="dxa"/>
            <w:shd w:val="clear" w:color="auto" w:fill="FFFFFF"/>
          </w:tcPr>
          <w:p w14:paraId="031E96EB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bCs/>
                <w:sz w:val="21"/>
                <w:szCs w:val="21"/>
              </w:rPr>
            </w:pPr>
          </w:p>
        </w:tc>
      </w:tr>
      <w:tr w:rsidR="00D77591" w:rsidRPr="00DC34C0" w14:paraId="60C21517" w14:textId="479059A3" w:rsidTr="00DD2FDA">
        <w:trPr>
          <w:trHeight w:val="70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56205690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</w:rPr>
              <w:lastRenderedPageBreak/>
              <w:t>1.2.2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31A5B299" w14:textId="77777777" w:rsidR="00D77591" w:rsidRPr="00A32845" w:rsidRDefault="00D77591" w:rsidP="00B31464">
            <w:pPr>
              <w:rPr>
                <w:rFonts w:eastAsia="Times New Roman"/>
                <w:sz w:val="21"/>
                <w:szCs w:val="21"/>
              </w:rPr>
            </w:pPr>
            <w:r w:rsidRPr="00A32845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Wspieranie działań na rzecz ochrony i zachowania dziedzictwa kulturowego i przyrodniczego obszaru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CC15AB8" w14:textId="41EAC3D1" w:rsidR="00D77591" w:rsidRPr="00A32845" w:rsidRDefault="00D77591" w:rsidP="00B31464">
            <w:pPr>
              <w:tabs>
                <w:tab w:val="left" w:pos="4395"/>
              </w:tabs>
              <w:rPr>
                <w:rFonts w:eastAsia="Times New Roman"/>
                <w:sz w:val="21"/>
                <w:szCs w:val="21"/>
                <w:lang w:bidi="en-US"/>
              </w:rPr>
            </w:pPr>
            <w:r w:rsidRPr="00A32845">
              <w:rPr>
                <w:rFonts w:eastAsia="Times New Roman"/>
                <w:sz w:val="21"/>
                <w:szCs w:val="21"/>
                <w:lang w:bidi="en-US"/>
              </w:rPr>
              <w:t>Operacje przede wszystkim inwestycyjne polegające na zachowaniu lokalnego dziedzictwa: kulturowego, historycznego i przyrodniczego obszaru. Wsparciem planuje się objąć zabytki oraz inne  cenne miejsca świadczące o specyfice obszaru PLGD;</w:t>
            </w:r>
          </w:p>
        </w:tc>
        <w:tc>
          <w:tcPr>
            <w:tcW w:w="708" w:type="dxa"/>
            <w:shd w:val="clear" w:color="auto" w:fill="FFFFFF"/>
          </w:tcPr>
          <w:p w14:paraId="07CB98C3" w14:textId="77777777" w:rsidR="00D77591" w:rsidRPr="00A32845" w:rsidRDefault="00D77591" w:rsidP="00B31464">
            <w:pPr>
              <w:tabs>
                <w:tab w:val="left" w:pos="4395"/>
              </w:tabs>
              <w:rPr>
                <w:rFonts w:eastAsia="Times New Roman"/>
                <w:sz w:val="21"/>
                <w:szCs w:val="21"/>
                <w:lang w:bidi="en-US"/>
              </w:rPr>
            </w:pPr>
          </w:p>
        </w:tc>
      </w:tr>
      <w:tr w:rsidR="00D77591" w:rsidRPr="00DC34C0" w14:paraId="7E1C1556" w14:textId="28B03374" w:rsidTr="00DD2FDA">
        <w:trPr>
          <w:trHeight w:val="445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0B001CE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</w:rPr>
              <w:t>1.2.3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4B41E545" w14:textId="77777777" w:rsidR="00D77591" w:rsidRPr="0042594C" w:rsidRDefault="00D77591" w:rsidP="00B31464">
            <w:pPr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42594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Wsparcie organizacji pozarządowych w zakresie działalności statutowej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25D4705" w14:textId="77777777" w:rsidR="00D77591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42594C">
              <w:rPr>
                <w:sz w:val="21"/>
                <w:szCs w:val="21"/>
              </w:rPr>
              <w:t>Wsparciem zostaną objęte działania mające na celu wzmocnienie potencjału technicznego oraz organizacyjnego organizacji pozarządowych</w:t>
            </w:r>
            <w:r w:rsidR="0042594C">
              <w:rPr>
                <w:sz w:val="21"/>
                <w:szCs w:val="21"/>
              </w:rPr>
              <w:t xml:space="preserve"> (NGO)</w:t>
            </w:r>
            <w:r w:rsidR="0042594C">
              <w:rPr>
                <w:sz w:val="21"/>
                <w:szCs w:val="21"/>
              </w:rPr>
              <w:br/>
            </w:r>
            <w:r w:rsidRPr="0042594C">
              <w:rPr>
                <w:sz w:val="21"/>
                <w:szCs w:val="21"/>
              </w:rPr>
              <w:t xml:space="preserve">np.:  działania edukacyjno-kulturalne, promocyjne, zakup wyposażenia, urządzeń, sprzętu, materiałów do prowadzenia działalności oraz modernizacja obiektów wykorzystywanych na potrzeby działalności </w:t>
            </w:r>
            <w:r w:rsidR="0042594C">
              <w:rPr>
                <w:sz w:val="21"/>
                <w:szCs w:val="21"/>
              </w:rPr>
              <w:t>statutowej (z wyłączeniem działalności bojowej w przypadku OSP)</w:t>
            </w:r>
            <w:r w:rsidRPr="0042594C">
              <w:rPr>
                <w:sz w:val="21"/>
                <w:szCs w:val="21"/>
              </w:rPr>
              <w:t xml:space="preserve">; </w:t>
            </w:r>
            <w:r w:rsidR="0042594C">
              <w:rPr>
                <w:sz w:val="21"/>
                <w:szCs w:val="21"/>
              </w:rPr>
              <w:br/>
            </w:r>
            <w:r w:rsidRPr="0042594C">
              <w:rPr>
                <w:sz w:val="21"/>
                <w:szCs w:val="21"/>
              </w:rPr>
              <w:t>cześć wsparcia zostanie przeznaczona na dofinansowanie innowacyjnych działań</w:t>
            </w:r>
          </w:p>
          <w:p w14:paraId="3A057311" w14:textId="5EC836CA" w:rsidR="0042594C" w:rsidRPr="0042594C" w:rsidRDefault="0042594C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  <w:lang w:bidi="en-US"/>
              </w:rPr>
            </w:pPr>
            <w:r>
              <w:rPr>
                <w:sz w:val="21"/>
                <w:szCs w:val="21"/>
              </w:rPr>
              <w:t>Warunek dostępu: Organizacja może złożyć wniosek w ramach tego przedsięwzięcia wyłącznie wówczas jeśli wcześniej (w latach 2016-2021) nie uzyskała dofinansowania w ramach tego samego przedsięwzięcia .</w:t>
            </w:r>
          </w:p>
        </w:tc>
        <w:tc>
          <w:tcPr>
            <w:tcW w:w="708" w:type="dxa"/>
            <w:shd w:val="clear" w:color="auto" w:fill="FFFFFF"/>
          </w:tcPr>
          <w:p w14:paraId="0AB2AEFA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D2FDA" w:rsidRPr="00DC34C0" w14:paraId="2950AA1E" w14:textId="77777777" w:rsidTr="0058298D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5F497A"/>
            <w:vAlign w:val="center"/>
          </w:tcPr>
          <w:p w14:paraId="73A8AF0E" w14:textId="21599FCE" w:rsidR="00DD2FDA" w:rsidRPr="00DD2FDA" w:rsidRDefault="00DD2FDA" w:rsidP="00DD2FDA">
            <w:pPr>
              <w:tabs>
                <w:tab w:val="left" w:pos="4395"/>
              </w:tabs>
              <w:ind w:right="45"/>
              <w:jc w:val="center"/>
              <w:rPr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 xml:space="preserve">Cel ogólny 2. </w:t>
            </w:r>
            <w:r w:rsidRPr="00DD2FDA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 xml:space="preserve">Rozwój </w:t>
            </w:r>
            <w:proofErr w:type="spellStart"/>
            <w:r w:rsidRPr="00DD2FDA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społeczno</w:t>
            </w:r>
            <w:proofErr w:type="spellEnd"/>
            <w:r w:rsidRPr="00DD2FDA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 xml:space="preserve"> – gospodarczy Podhalańskiej Lokalnej Grupy Działania</w:t>
            </w:r>
          </w:p>
        </w:tc>
      </w:tr>
      <w:tr w:rsidR="00D275E5" w:rsidRPr="00DC34C0" w14:paraId="1BF4A625" w14:textId="03EF6B64" w:rsidTr="00DD2FDA">
        <w:trPr>
          <w:trHeight w:val="70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66B6CFF" w14:textId="77777777" w:rsidR="00D275E5" w:rsidRPr="00A32845" w:rsidRDefault="00D275E5" w:rsidP="00B31464">
            <w:pPr>
              <w:rPr>
                <w:b/>
                <w:color w:val="FFFFFF"/>
                <w:sz w:val="21"/>
                <w:szCs w:val="21"/>
              </w:rPr>
            </w:pPr>
            <w:r w:rsidRPr="00A32845">
              <w:rPr>
                <w:b/>
                <w:color w:val="FFFFFF"/>
                <w:sz w:val="21"/>
                <w:szCs w:val="21"/>
              </w:rPr>
              <w:t>2.1.1</w:t>
            </w:r>
          </w:p>
        </w:tc>
        <w:tc>
          <w:tcPr>
            <w:tcW w:w="2410" w:type="dxa"/>
            <w:vMerge w:val="restart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324123B7" w14:textId="54C6E267" w:rsidR="00D275E5" w:rsidRPr="00CD2058" w:rsidRDefault="00D275E5" w:rsidP="00B314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 xml:space="preserve">PREMIA NA STRAT - wsparcie na podjęcie działalności gospodarczej, w tym opartej na innowacjach </w:t>
            </w:r>
            <w:r w:rsidRPr="00CD2058">
              <w:rPr>
                <w:sz w:val="21"/>
                <w:szCs w:val="21"/>
              </w:rPr>
              <w:t xml:space="preserve">i zakładanych przez osoby z grup </w:t>
            </w:r>
            <w:proofErr w:type="spellStart"/>
            <w:r w:rsidRPr="00CD2058">
              <w:rPr>
                <w:sz w:val="21"/>
                <w:szCs w:val="21"/>
              </w:rPr>
              <w:t>defaworyzowanych</w:t>
            </w:r>
            <w:proofErr w:type="spellEnd"/>
          </w:p>
        </w:tc>
        <w:tc>
          <w:tcPr>
            <w:tcW w:w="6946" w:type="dxa"/>
            <w:shd w:val="clear" w:color="auto" w:fill="FFFFFF"/>
            <w:vAlign w:val="center"/>
          </w:tcPr>
          <w:p w14:paraId="3B04247E" w14:textId="77777777" w:rsidR="00D275E5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  <w:p w14:paraId="057AA0BC" w14:textId="12B814D7" w:rsidR="00D275E5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 xml:space="preserve">Wsparcie przeznaczone dla osób fizycznych </w:t>
            </w:r>
            <w:r>
              <w:rPr>
                <w:sz w:val="21"/>
                <w:szCs w:val="21"/>
              </w:rPr>
              <w:t>– mieszkańców obszaru PLGD, niezależnie od wieku i statusu bezrobocia, rodziny wielodzietnej</w:t>
            </w:r>
          </w:p>
          <w:p w14:paraId="0803FC59" w14:textId="196CFEE0" w:rsidR="00D275E5" w:rsidRPr="00D275E5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12F78225" w14:textId="77777777" w:rsidR="00D275E5" w:rsidRPr="00A32845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275E5" w:rsidRPr="00DC34C0" w14:paraId="3573A798" w14:textId="77777777" w:rsidTr="00DD2FDA">
        <w:trPr>
          <w:trHeight w:val="70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290ADFF4" w14:textId="77777777" w:rsidR="00D275E5" w:rsidRPr="00A32845" w:rsidRDefault="00D275E5" w:rsidP="00B31464">
            <w:pPr>
              <w:rPr>
                <w:b/>
                <w:color w:val="FFFFFF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213E501C" w14:textId="20CC32D5" w:rsidR="00D275E5" w:rsidRPr="00CD2058" w:rsidRDefault="00D275E5" w:rsidP="00B314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7B3F73D3" w14:textId="4A38C003" w:rsidR="00D275E5" w:rsidRPr="00CD2058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 xml:space="preserve">Wsparcie przeznaczone dla osób fizycznych </w:t>
            </w:r>
            <w:r>
              <w:rPr>
                <w:sz w:val="21"/>
                <w:szCs w:val="21"/>
              </w:rPr>
              <w:t xml:space="preserve">– mieszkańców obszaru PLGD </w:t>
            </w:r>
            <w:r w:rsidRPr="00CD2058">
              <w:rPr>
                <w:sz w:val="21"/>
                <w:szCs w:val="21"/>
              </w:rPr>
              <w:t xml:space="preserve">dedykowane </w:t>
            </w:r>
            <w:r>
              <w:rPr>
                <w:sz w:val="21"/>
                <w:szCs w:val="21"/>
              </w:rPr>
              <w:t>wyłącznie</w:t>
            </w:r>
            <w:r w:rsidRPr="00CD2058">
              <w:rPr>
                <w:sz w:val="21"/>
                <w:szCs w:val="21"/>
              </w:rPr>
              <w:t xml:space="preserve"> osobom należącym do jednej z 3 grup </w:t>
            </w:r>
            <w:proofErr w:type="spellStart"/>
            <w:r w:rsidRPr="00CD2058">
              <w:rPr>
                <w:sz w:val="21"/>
                <w:szCs w:val="21"/>
              </w:rPr>
              <w:t>defaworyzowanych</w:t>
            </w:r>
            <w:proofErr w:type="spellEnd"/>
            <w:r w:rsidRPr="00CD2058">
              <w:rPr>
                <w:sz w:val="21"/>
                <w:szCs w:val="21"/>
              </w:rPr>
              <w:t>:</w:t>
            </w:r>
          </w:p>
          <w:p w14:paraId="0488E4A4" w14:textId="77777777" w:rsidR="00D275E5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>osoby młode do 35 r.ż. lub osoby z rodzin wielodzietnych lub osoby bezrobotne</w:t>
            </w:r>
          </w:p>
          <w:p w14:paraId="6E940C0C" w14:textId="3C96E982" w:rsidR="00D275E5" w:rsidRPr="00CD2058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409F2C4F" w14:textId="77777777" w:rsidR="00D275E5" w:rsidRPr="00A32845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275E5" w:rsidRPr="00DC34C0" w14:paraId="09A04C23" w14:textId="3C487C5D" w:rsidTr="00DD2FDA">
        <w:trPr>
          <w:trHeight w:val="70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3969BAE" w14:textId="77777777" w:rsidR="00D275E5" w:rsidRPr="00A32845" w:rsidRDefault="00D275E5" w:rsidP="00B31464">
            <w:pPr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  <w:t>2.1.2</w:t>
            </w:r>
          </w:p>
        </w:tc>
        <w:tc>
          <w:tcPr>
            <w:tcW w:w="2410" w:type="dxa"/>
            <w:vMerge w:val="restart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13DF2B92" w14:textId="5642743B" w:rsidR="00D275E5" w:rsidRPr="00CD2058" w:rsidRDefault="00D275E5" w:rsidP="00B3146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pl-PL"/>
              </w:rPr>
            </w:pPr>
            <w:r w:rsidRPr="00CD2058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Wspieranie rozwoju przedsiębiorstw na rzecz tworzenia nowych miejsc pracy</w:t>
            </w:r>
            <w:r w:rsidRPr="00CD2058">
              <w:rPr>
                <w:rFonts w:eastAsia="Times New Roman"/>
                <w:sz w:val="21"/>
                <w:szCs w:val="21"/>
                <w:lang w:eastAsia="pl-PL"/>
              </w:rPr>
              <w:t xml:space="preserve"> w tym również opartych na innowacjach </w:t>
            </w:r>
            <w:r w:rsidRPr="00CD2058">
              <w:rPr>
                <w:rFonts w:eastAsia="Times New Roman"/>
                <w:sz w:val="21"/>
                <w:szCs w:val="21"/>
                <w:lang w:eastAsia="pl-PL"/>
              </w:rPr>
              <w:t xml:space="preserve">i zatrudniających osoby z  grup </w:t>
            </w:r>
            <w:proofErr w:type="spellStart"/>
            <w:r w:rsidRPr="00CD2058">
              <w:rPr>
                <w:rFonts w:eastAsia="Times New Roman"/>
                <w:sz w:val="21"/>
                <w:szCs w:val="21"/>
                <w:lang w:eastAsia="pl-PL"/>
              </w:rPr>
              <w:t>defaworyzowanych</w:t>
            </w:r>
            <w:proofErr w:type="spellEnd"/>
          </w:p>
        </w:tc>
        <w:tc>
          <w:tcPr>
            <w:tcW w:w="6946" w:type="dxa"/>
            <w:shd w:val="clear" w:color="auto" w:fill="FFFFFF"/>
            <w:vAlign w:val="center"/>
          </w:tcPr>
          <w:p w14:paraId="2EF3086C" w14:textId="77777777" w:rsidR="00D275E5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  <w:p w14:paraId="3E854C1D" w14:textId="1AC5BD11" w:rsidR="00D275E5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>Przedsiębiorcy prowadzący różne rodzaje działalności</w:t>
            </w:r>
            <w:r>
              <w:rPr>
                <w:sz w:val="21"/>
                <w:szCs w:val="21"/>
              </w:rPr>
              <w:t xml:space="preserve">  na obszarze Podhalańskiej LGD</w:t>
            </w:r>
            <w:r w:rsidRPr="00CD2058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wnioskodawca deklaruje utworzenie minimum 1 miejsca pracy</w:t>
            </w:r>
          </w:p>
          <w:p w14:paraId="73972CD8" w14:textId="4C74F91B" w:rsidR="00D275E5" w:rsidRPr="00CD2058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43D7DB18" w14:textId="77777777" w:rsidR="00D275E5" w:rsidRPr="00A32845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275E5" w:rsidRPr="00DC34C0" w14:paraId="34866A27" w14:textId="77777777" w:rsidTr="00DD2FDA">
        <w:trPr>
          <w:trHeight w:val="70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0F68586E" w14:textId="77777777" w:rsidR="00D275E5" w:rsidRPr="00A32845" w:rsidRDefault="00D275E5" w:rsidP="00B31464">
            <w:pPr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311536B9" w14:textId="27C89D2C" w:rsidR="00D275E5" w:rsidRPr="00CD2058" w:rsidRDefault="00D275E5" w:rsidP="00B314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15E12AFB" w14:textId="2AB5BEFF" w:rsidR="00D275E5" w:rsidRPr="00CD2058" w:rsidRDefault="00D275E5" w:rsidP="007E3E9A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>Przedsiębiorcy prowadzący różne rodzaje działalności</w:t>
            </w:r>
            <w:r>
              <w:rPr>
                <w:sz w:val="21"/>
                <w:szCs w:val="21"/>
              </w:rPr>
              <w:t xml:space="preserve">  na obszarze Podhalańskiej LGD</w:t>
            </w:r>
            <w:r w:rsidRPr="00CD2058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wnioskodawca deklaruje utworzenie minimum 1 miejsca pracy</w:t>
            </w:r>
            <w:r>
              <w:rPr>
                <w:sz w:val="21"/>
                <w:szCs w:val="21"/>
              </w:rPr>
              <w:t xml:space="preserve"> - </w:t>
            </w:r>
            <w:r w:rsidRPr="00CD2058">
              <w:rPr>
                <w:sz w:val="21"/>
                <w:szCs w:val="21"/>
              </w:rPr>
              <w:t xml:space="preserve">zatrudnienie </w:t>
            </w:r>
            <w:r>
              <w:rPr>
                <w:sz w:val="21"/>
                <w:szCs w:val="21"/>
              </w:rPr>
              <w:t xml:space="preserve">powinno dotyczyć tylko </w:t>
            </w:r>
            <w:r w:rsidRPr="00CD2058">
              <w:rPr>
                <w:sz w:val="21"/>
                <w:szCs w:val="21"/>
              </w:rPr>
              <w:t xml:space="preserve">osób należących do jednej z 3 grup </w:t>
            </w:r>
            <w:proofErr w:type="spellStart"/>
            <w:r w:rsidRPr="00CD2058">
              <w:rPr>
                <w:sz w:val="21"/>
                <w:szCs w:val="21"/>
              </w:rPr>
              <w:t>defaworyzowanych</w:t>
            </w:r>
            <w:proofErr w:type="spellEnd"/>
            <w:r w:rsidRPr="00CD2058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CD2058">
              <w:rPr>
                <w:sz w:val="21"/>
                <w:szCs w:val="21"/>
              </w:rPr>
              <w:t>osoby młode do 35 r.ż. lub osoby z rodzin wielodzietnych lub osoby bezrobotne</w:t>
            </w:r>
          </w:p>
        </w:tc>
        <w:tc>
          <w:tcPr>
            <w:tcW w:w="708" w:type="dxa"/>
            <w:shd w:val="clear" w:color="auto" w:fill="FFFFFF"/>
          </w:tcPr>
          <w:p w14:paraId="7A3A9581" w14:textId="77777777" w:rsidR="00D275E5" w:rsidRPr="00A32845" w:rsidRDefault="00D275E5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7F7059C1" w14:textId="4AFD035B" w:rsidTr="00DD2FDA">
        <w:trPr>
          <w:trHeight w:val="1968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  <w:hideMark/>
          </w:tcPr>
          <w:p w14:paraId="6595A352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  <w:t>2.2.1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14:paraId="38A75B01" w14:textId="15FF8B6C" w:rsidR="00D77591" w:rsidRPr="00DD2FDA" w:rsidRDefault="00D77591" w:rsidP="00B31464">
            <w:pPr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DD2FD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Wykorzystanie potencjału produktów lokalnych na rzecz rozw</w:t>
            </w:r>
            <w:r w:rsidR="00A32845" w:rsidRPr="00DD2FD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ój</w:t>
            </w:r>
            <w:r w:rsidRPr="00DD2FD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lokalnej przedsiębiorczości opartej na </w:t>
            </w:r>
            <w:r w:rsidRPr="00DD2FDA">
              <w:rPr>
                <w:rFonts w:eastAsia="Times New Roman"/>
                <w:sz w:val="20"/>
                <w:szCs w:val="20"/>
                <w:lang w:eastAsia="pl-PL"/>
              </w:rPr>
              <w:t xml:space="preserve">lokalnym produkcie spożywczym – </w:t>
            </w:r>
            <w:r w:rsidRPr="00DD2FDA">
              <w:rPr>
                <w:sz w:val="20"/>
                <w:szCs w:val="20"/>
              </w:rPr>
              <w:t>rozwój przetwórstwa produkcji i dystrybucji produktów lokalnych /Rozwój przedsiębiorstw</w:t>
            </w:r>
            <w:r w:rsidRPr="00DD2FDA">
              <w:rPr>
                <w:color w:val="000000"/>
                <w:sz w:val="20"/>
                <w:szCs w:val="20"/>
              </w:rPr>
              <w:t xml:space="preserve"> w branży spożywczej/</w:t>
            </w:r>
          </w:p>
        </w:tc>
        <w:tc>
          <w:tcPr>
            <w:tcW w:w="6946" w:type="dxa"/>
            <w:shd w:val="clear" w:color="auto" w:fill="FFFFFF"/>
            <w:vAlign w:val="center"/>
            <w:hideMark/>
          </w:tcPr>
          <w:p w14:paraId="075B0384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A32845">
              <w:rPr>
                <w:sz w:val="21"/>
                <w:szCs w:val="21"/>
              </w:rPr>
              <w:t xml:space="preserve">Przedsiębiorcy prowadzący lub rozwijający działalność gospodarczą  opartą na produkcie lokalnym (kreowanym lub istniejącym) sklasyfikowaną w ramach kodów </w:t>
            </w:r>
            <w:proofErr w:type="spellStart"/>
            <w:r w:rsidRPr="00A32845">
              <w:rPr>
                <w:sz w:val="21"/>
                <w:szCs w:val="21"/>
              </w:rPr>
              <w:t>pkd</w:t>
            </w:r>
            <w:proofErr w:type="spellEnd"/>
            <w:r w:rsidRPr="00A32845">
              <w:rPr>
                <w:sz w:val="21"/>
                <w:szCs w:val="21"/>
              </w:rPr>
              <w:t>/ działów związanych z branżą spożywczą (w zakresie produkcji, przetwarzania, dystrybucji, usług).</w:t>
            </w:r>
          </w:p>
          <w:p w14:paraId="49A2A3BD" w14:textId="77777777" w:rsidR="00D77591" w:rsidRPr="00A32845" w:rsidRDefault="00D77591" w:rsidP="00B31464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</w:tcPr>
          <w:p w14:paraId="67769984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3570AC3B" w14:textId="4BEC4687" w:rsidTr="00DD2FDA">
        <w:trPr>
          <w:trHeight w:val="1243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43047FD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  <w:t>2.2.2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6BB4B20B" w14:textId="77777777" w:rsidR="00D77591" w:rsidRDefault="00D77591" w:rsidP="00B31464">
            <w:pPr>
              <w:rPr>
                <w:rFonts w:eastAsia="Times New Roman"/>
                <w:i/>
                <w:sz w:val="21"/>
                <w:szCs w:val="21"/>
                <w:lang w:eastAsia="pl-PL"/>
              </w:rPr>
            </w:pPr>
            <w:r w:rsidRPr="00D275E5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Wspieranie integracji branż mających znaczenie w zakresie produktu lokalnego na Podhalu</w:t>
            </w:r>
            <w:r w:rsidRPr="00D275E5">
              <w:rPr>
                <w:rFonts w:eastAsia="Times New Roman"/>
                <w:i/>
                <w:sz w:val="21"/>
                <w:szCs w:val="21"/>
                <w:lang w:eastAsia="pl-PL"/>
              </w:rPr>
              <w:t xml:space="preserve"> </w:t>
            </w:r>
          </w:p>
          <w:p w14:paraId="1B466697" w14:textId="28F8CBF1" w:rsidR="00D275E5" w:rsidRPr="00D275E5" w:rsidRDefault="00D275E5" w:rsidP="00B31464">
            <w:pPr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76DA72BD" w14:textId="77777777" w:rsidR="00D77591" w:rsidRPr="00D275E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D275E5">
              <w:rPr>
                <w:sz w:val="21"/>
                <w:szCs w:val="21"/>
              </w:rPr>
              <w:t>Działania na rzecz budowania współpracy lokalnych podmiotów, rolników w zakresie promocji i zwiększenia dostępności produktów lokalnych np. spotkania, wyjazdy, wymiana doświadczeń i dobrych praktyk, targi, konferencje i in.</w:t>
            </w:r>
          </w:p>
        </w:tc>
        <w:tc>
          <w:tcPr>
            <w:tcW w:w="708" w:type="dxa"/>
            <w:shd w:val="clear" w:color="auto" w:fill="FFFFFF"/>
          </w:tcPr>
          <w:p w14:paraId="425A8042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3FA16938" w14:textId="5D0962EA" w:rsidTr="00DD2FDA">
        <w:trPr>
          <w:trHeight w:val="1018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5A95EBBD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</w:rPr>
              <w:t>2.3.1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5E0797BB" w14:textId="77777777" w:rsidR="00D77591" w:rsidRDefault="00D77591" w:rsidP="00B31464">
            <w:pPr>
              <w:rPr>
                <w:rFonts w:eastAsia="Times New Roman"/>
                <w:sz w:val="21"/>
                <w:szCs w:val="21"/>
                <w:lang w:eastAsia="pl-PL"/>
              </w:rPr>
            </w:pPr>
            <w:r w:rsidRPr="00D275E5">
              <w:rPr>
                <w:rFonts w:eastAsia="Times New Roman"/>
                <w:sz w:val="21"/>
                <w:szCs w:val="21"/>
                <w:lang w:eastAsia="pl-PL"/>
              </w:rPr>
              <w:t>Wydarzenia oraz działania informacyjno-promocyjne</w:t>
            </w:r>
            <w:r w:rsidRPr="00D275E5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 na rzecz rozwijania oferty turystycznej obszaru</w:t>
            </w:r>
            <w:r w:rsidRPr="00D275E5">
              <w:rPr>
                <w:rFonts w:eastAsia="Times New Roman"/>
                <w:sz w:val="21"/>
                <w:szCs w:val="21"/>
                <w:lang w:eastAsia="pl-PL"/>
              </w:rPr>
              <w:t xml:space="preserve"> PLGD</w:t>
            </w:r>
          </w:p>
          <w:p w14:paraId="4481AA72" w14:textId="0E1F3381" w:rsidR="00D275E5" w:rsidRPr="00D275E5" w:rsidRDefault="00D275E5" w:rsidP="00B31464">
            <w:pPr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3D74A9C3" w14:textId="77777777" w:rsidR="00D77591" w:rsidRPr="00D275E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D275E5">
              <w:rPr>
                <w:sz w:val="21"/>
                <w:szCs w:val="21"/>
                <w:lang w:bidi="en-US"/>
              </w:rPr>
              <w:t xml:space="preserve">Różne projekty mieszczące się w zakresie zdefiniowanego przedsięwzięcia, np.: wydawnictwa/publikacje, nagrania audiowizualne itp. operacje promujące i kreujące wizerunek obszaru LGD, jego walory turystyczne; </w:t>
            </w:r>
          </w:p>
        </w:tc>
        <w:tc>
          <w:tcPr>
            <w:tcW w:w="708" w:type="dxa"/>
            <w:shd w:val="clear" w:color="auto" w:fill="FFFFFF"/>
          </w:tcPr>
          <w:p w14:paraId="4C24A54A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  <w:lang w:bidi="en-US"/>
              </w:rPr>
            </w:pPr>
          </w:p>
        </w:tc>
      </w:tr>
      <w:tr w:rsidR="006048E9" w:rsidRPr="00DC34C0" w14:paraId="32F85F78" w14:textId="77777777" w:rsidTr="00DD2FDA">
        <w:trPr>
          <w:trHeight w:val="1018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484B72E8" w14:textId="77777777" w:rsidR="006048E9" w:rsidRPr="00A32845" w:rsidRDefault="006048E9" w:rsidP="00B31464">
            <w:pPr>
              <w:rPr>
                <w:rFonts w:eastAsia="Times New Roman"/>
                <w:b/>
                <w:color w:val="FFFFFF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11840F3E" w14:textId="44FF9B37" w:rsidR="006048E9" w:rsidRPr="00D275E5" w:rsidRDefault="006048E9" w:rsidP="00B31464">
            <w:pPr>
              <w:rPr>
                <w:rFonts w:eastAsia="Times New Roman"/>
                <w:sz w:val="21"/>
                <w:szCs w:val="21"/>
                <w:lang w:eastAsia="pl-PL"/>
              </w:rPr>
            </w:pPr>
            <w:r w:rsidRPr="00D275E5">
              <w:rPr>
                <w:rFonts w:eastAsia="Times New Roman"/>
                <w:sz w:val="21"/>
                <w:szCs w:val="21"/>
                <w:lang w:eastAsia="pl-PL"/>
              </w:rPr>
              <w:t>Inne, jakie  ………………… ………………………………………………………………………………………………………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24972A7" w14:textId="2CEB5E52" w:rsidR="00E7784E" w:rsidRPr="00D275E5" w:rsidRDefault="006048E9" w:rsidP="006048E9">
            <w:pPr>
              <w:tabs>
                <w:tab w:val="left" w:pos="4395"/>
              </w:tabs>
              <w:ind w:right="45"/>
              <w:jc w:val="left"/>
              <w:rPr>
                <w:sz w:val="21"/>
                <w:szCs w:val="21"/>
                <w:lang w:bidi="en-US"/>
              </w:rPr>
            </w:pPr>
            <w:r w:rsidRPr="00D275E5">
              <w:rPr>
                <w:sz w:val="21"/>
                <w:szCs w:val="21"/>
                <w:lang w:bidi="en-US"/>
              </w:rPr>
              <w:t>Uzasadnienie, opis</w:t>
            </w:r>
            <w:r w:rsidRPr="00D275E5">
              <w:rPr>
                <w:sz w:val="21"/>
                <w:szCs w:val="21"/>
                <w:lang w:bidi="en-US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708" w:type="dxa"/>
            <w:shd w:val="clear" w:color="auto" w:fill="FFFFFF"/>
          </w:tcPr>
          <w:p w14:paraId="26C01BD4" w14:textId="77777777" w:rsidR="006048E9" w:rsidRPr="00A32845" w:rsidRDefault="006048E9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  <w:lang w:bidi="en-US"/>
              </w:rPr>
            </w:pPr>
          </w:p>
        </w:tc>
      </w:tr>
    </w:tbl>
    <w:p w14:paraId="32EA78EF" w14:textId="77654BAE" w:rsidR="00BF67BC" w:rsidRPr="00DD2FDA" w:rsidRDefault="00D77591" w:rsidP="00DD2FDA">
      <w:pPr>
        <w:widowControl w:val="0"/>
        <w:autoSpaceDE w:val="0"/>
        <w:autoSpaceDN w:val="0"/>
        <w:adjustRightInd w:val="0"/>
        <w:spacing w:before="95" w:after="160" w:line="256" w:lineRule="auto"/>
        <w:jc w:val="center"/>
        <w:rPr>
          <w:rFonts w:eastAsiaTheme="minorHAnsi" w:cstheme="minorHAnsi"/>
          <w:i/>
          <w:sz w:val="24"/>
          <w:szCs w:val="24"/>
        </w:rPr>
      </w:pPr>
      <w:r w:rsidRPr="006048E9">
        <w:rPr>
          <w:rFonts w:eastAsiaTheme="minorHAnsi" w:cstheme="minorHAnsi"/>
          <w:b/>
          <w:bCs/>
          <w:i/>
          <w:sz w:val="28"/>
          <w:szCs w:val="28"/>
        </w:rPr>
        <w:t>Dziękujemy za wypełnienie ankiety</w:t>
      </w:r>
    </w:p>
    <w:sectPr w:rsidR="00BF67BC" w:rsidRPr="00DD2FDA" w:rsidSect="007E3E9A">
      <w:headerReference w:type="default" r:id="rId8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0A9F" w14:textId="77777777" w:rsidR="0048673D" w:rsidRDefault="0048673D" w:rsidP="00D77591">
      <w:r>
        <w:separator/>
      </w:r>
    </w:p>
  </w:endnote>
  <w:endnote w:type="continuationSeparator" w:id="0">
    <w:p w14:paraId="42AA64C6" w14:textId="77777777" w:rsidR="0048673D" w:rsidRDefault="0048673D" w:rsidP="00D7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3971" w14:textId="77777777" w:rsidR="0048673D" w:rsidRDefault="0048673D" w:rsidP="00D77591">
      <w:r>
        <w:separator/>
      </w:r>
    </w:p>
  </w:footnote>
  <w:footnote w:type="continuationSeparator" w:id="0">
    <w:p w14:paraId="1B3FAAFE" w14:textId="77777777" w:rsidR="0048673D" w:rsidRDefault="0048673D" w:rsidP="00D7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8611" w14:textId="54A2CF62" w:rsidR="00D77591" w:rsidRDefault="00D77591" w:rsidP="00D77591">
    <w:pPr>
      <w:pStyle w:val="Nagwek"/>
      <w:jc w:val="center"/>
    </w:pPr>
    <w:r>
      <w:rPr>
        <w:noProof/>
      </w:rPr>
      <w:drawing>
        <wp:inline distT="0" distB="0" distL="0" distR="0" wp14:anchorId="7FBB3751" wp14:editId="48B4A175">
          <wp:extent cx="3150870" cy="57203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black_white_low-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539" cy="58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AC031" w14:textId="10B7A277" w:rsidR="00D77591" w:rsidRPr="00D77591" w:rsidRDefault="00D77591" w:rsidP="00D77591">
    <w:pPr>
      <w:pStyle w:val="Nagwek"/>
      <w:jc w:val="center"/>
      <w:rPr>
        <w:sz w:val="18"/>
        <w:szCs w:val="18"/>
      </w:rPr>
    </w:pPr>
    <w:r w:rsidRPr="008600B0">
      <w:rPr>
        <w:sz w:val="18"/>
        <w:szCs w:val="18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F1B75"/>
    <w:multiLevelType w:val="multilevel"/>
    <w:tmpl w:val="51FE0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72"/>
    <w:rsid w:val="002862B7"/>
    <w:rsid w:val="002E4F2B"/>
    <w:rsid w:val="00403F7C"/>
    <w:rsid w:val="0042594C"/>
    <w:rsid w:val="00446ABE"/>
    <w:rsid w:val="0048673D"/>
    <w:rsid w:val="005461E4"/>
    <w:rsid w:val="005C3BB0"/>
    <w:rsid w:val="006048E9"/>
    <w:rsid w:val="00657AC6"/>
    <w:rsid w:val="00773A75"/>
    <w:rsid w:val="007E3E9A"/>
    <w:rsid w:val="00847E7F"/>
    <w:rsid w:val="00994572"/>
    <w:rsid w:val="00A32845"/>
    <w:rsid w:val="00A92F0E"/>
    <w:rsid w:val="00BF67BC"/>
    <w:rsid w:val="00CD2058"/>
    <w:rsid w:val="00D275E5"/>
    <w:rsid w:val="00D77591"/>
    <w:rsid w:val="00DB15CA"/>
    <w:rsid w:val="00DD2FDA"/>
    <w:rsid w:val="00E7784E"/>
    <w:rsid w:val="00F06987"/>
    <w:rsid w:val="00F21FCB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5B22"/>
  <w15:chartTrackingRefBased/>
  <w15:docId w15:val="{13427085-7CE3-46FF-806B-BBE96B1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7BC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591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D77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591"/>
    <w:rPr>
      <w:rFonts w:ascii="Arial Narrow" w:eastAsia="Calibri" w:hAnsi="Arial Narrow" w:cs="Times New Roman"/>
    </w:rPr>
  </w:style>
  <w:style w:type="paragraph" w:customStyle="1" w:styleId="Default">
    <w:name w:val="Default"/>
    <w:rsid w:val="005C3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2F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dhal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Joanna Filas</cp:lastModifiedBy>
  <cp:revision>3</cp:revision>
  <cp:lastPrinted>2019-10-15T06:31:00Z</cp:lastPrinted>
  <dcterms:created xsi:type="dcterms:W3CDTF">2021-06-02T14:25:00Z</dcterms:created>
  <dcterms:modified xsi:type="dcterms:W3CDTF">2021-06-02T14:27:00Z</dcterms:modified>
</cp:coreProperties>
</file>