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16" w:rsidRDefault="00D46316" w:rsidP="00D4631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ZAGADNIENIA I PYTANIA ZGŁOSZONE PRZEZ LGD NA WIDEOKONFERENCJĘ:</w:t>
      </w:r>
    </w:p>
    <w:p w:rsidR="00D46316" w:rsidRDefault="00D46316" w:rsidP="00D46316">
      <w:pPr>
        <w:pStyle w:val="Default"/>
      </w:pPr>
    </w:p>
    <w:p w:rsidR="00D46316" w:rsidRDefault="00D46316" w:rsidP="00D46316">
      <w:pPr>
        <w:pStyle w:val="Default"/>
        <w:numPr>
          <w:ilvl w:val="0"/>
          <w:numId w:val="2"/>
        </w:numPr>
        <w:jc w:val="both"/>
        <w:rPr>
          <w:bCs/>
        </w:rPr>
      </w:pPr>
      <w:r>
        <w:t xml:space="preserve">Czy ustawa funduszowa </w:t>
      </w:r>
      <w:proofErr w:type="spellStart"/>
      <w:r>
        <w:t>Covidowa</w:t>
      </w:r>
      <w:proofErr w:type="spellEnd"/>
      <w:r>
        <w:t xml:space="preserve"> (z dnia 3 kwietnia 2020 r. </w:t>
      </w:r>
      <w:r>
        <w:rPr>
          <w:bCs/>
        </w:rPr>
        <w:t>o szczególnych rozwiązaniach wspierających realizację programów operacyjnych w związku</w:t>
      </w:r>
      <w:r w:rsidR="00772876">
        <w:rPr>
          <w:bCs/>
        </w:rPr>
        <w:br/>
      </w:r>
      <w:r>
        <w:rPr>
          <w:bCs/>
        </w:rPr>
        <w:t>z wystąpieniem COVID-19 w 2020 r.) dotyczy LGD w zakresie protestów? Spotkaliśmy się z różnym podejściem.</w:t>
      </w:r>
    </w:p>
    <w:p w:rsidR="00772876" w:rsidRDefault="00772876" w:rsidP="00D46316">
      <w:pPr>
        <w:pStyle w:val="Default"/>
        <w:ind w:left="720"/>
        <w:jc w:val="both"/>
        <w:rPr>
          <w:bCs/>
        </w:rPr>
      </w:pPr>
    </w:p>
    <w:p w:rsidR="00D46316" w:rsidRDefault="00772876" w:rsidP="00D46316">
      <w:pPr>
        <w:pStyle w:val="Default"/>
        <w:ind w:left="720"/>
        <w:jc w:val="both"/>
        <w:rPr>
          <w:bCs/>
        </w:rPr>
      </w:pPr>
      <w:r>
        <w:rPr>
          <w:bCs/>
        </w:rPr>
        <w:t>Odpowiedź:</w:t>
      </w:r>
    </w:p>
    <w:p w:rsidR="00D46316" w:rsidRDefault="00D46316" w:rsidP="00D46316">
      <w:pPr>
        <w:pStyle w:val="Default"/>
        <w:ind w:left="720"/>
        <w:jc w:val="both"/>
        <w:rPr>
          <w:bCs/>
        </w:rPr>
      </w:pPr>
      <w:r>
        <w:rPr>
          <w:bCs/>
        </w:rPr>
        <w:t>Chcąc uporządkować przepisy prawne raz jeszcze wyjaśniamy:</w:t>
      </w:r>
    </w:p>
    <w:p w:rsidR="00D46316" w:rsidRDefault="00D46316" w:rsidP="00D81220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W dniu 31 marca 2020 r. zaczął obowiązywać </w:t>
      </w:r>
      <w:r w:rsidRPr="00D46316">
        <w:rPr>
          <w:bCs/>
        </w:rPr>
        <w:t>art. 15zzs ustawy z dnia 2 marca 2020 r. o szczególnych rozwiązaniach związanych z zapobieganiem, przeciwdziałaniem i zwalczaniem COVID-19, innych chorób zakaźnych oraz wywołanych nimi sytuacji kryzysowych wprowadzony ustawą z dnia 31 marca 2020 r. o zmianie ustawy o szczególnych rozwiązaniach związanych</w:t>
      </w:r>
      <w:r w:rsidR="00772876">
        <w:rPr>
          <w:bCs/>
        </w:rPr>
        <w:br/>
      </w:r>
      <w:r w:rsidRPr="00D46316">
        <w:rPr>
          <w:bCs/>
        </w:rPr>
        <w:t>z zapobieganiem, przeciwdziałaniem</w:t>
      </w:r>
      <w:r>
        <w:rPr>
          <w:bCs/>
        </w:rPr>
        <w:t xml:space="preserve"> </w:t>
      </w:r>
      <w:r w:rsidRPr="00D46316">
        <w:rPr>
          <w:bCs/>
        </w:rPr>
        <w:t>i zwalczaniem COVID-19, innych chorób zakaźnych oraz wywołanych nimi sytuacji kryzysowych oraz niektórych innych ustaw.</w:t>
      </w:r>
      <w:r>
        <w:rPr>
          <w:bCs/>
        </w:rPr>
        <w:t xml:space="preserve"> </w:t>
      </w:r>
    </w:p>
    <w:p w:rsidR="00D46316" w:rsidRDefault="00D46316" w:rsidP="00D81220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Na mocy art. 15zzs ust 1 zawieszony został bieg terminów. Przepis ten dotyczy wszystkich terminów, także protestów.</w:t>
      </w:r>
    </w:p>
    <w:p w:rsidR="00D46316" w:rsidRDefault="00D46316" w:rsidP="00D46316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W dniu 18 kwietnia 2020 r. weszła w życie ustawa z dnia 16 kwietnia 2020 r.</w:t>
      </w:r>
      <w:r w:rsidR="00772876">
        <w:rPr>
          <w:bCs/>
        </w:rPr>
        <w:br/>
      </w:r>
      <w:r w:rsidRPr="00D46316">
        <w:rPr>
          <w:bCs/>
        </w:rPr>
        <w:t xml:space="preserve">o szczególnych instrumentach wsparcia w związku z rozprzestrzenianiem się </w:t>
      </w:r>
      <w:r>
        <w:rPr>
          <w:bCs/>
        </w:rPr>
        <w:t xml:space="preserve">wirusa SARS-CoV-2, która wprowadziła zmiany zarówno do ustawy z dnia 20 lutego 2015 r. o wspieraniu rozwoju obszarów wiejskich z udziałem środków EFRROW w ramach PROW 2014-2020 (ustawa ROW), jak i w zakresie zawieszenia biegu terminów w stosunku do zadań realizowanych na mocy ustawy ROW. </w:t>
      </w:r>
    </w:p>
    <w:p w:rsidR="00D46316" w:rsidRDefault="00D46316" w:rsidP="007B3E26">
      <w:pPr>
        <w:pStyle w:val="Default"/>
        <w:numPr>
          <w:ilvl w:val="0"/>
          <w:numId w:val="6"/>
        </w:numPr>
        <w:jc w:val="both"/>
        <w:rPr>
          <w:bCs/>
        </w:rPr>
      </w:pPr>
      <w:r w:rsidRPr="00E96DE7">
        <w:rPr>
          <w:bCs/>
        </w:rPr>
        <w:t>Na mocy art. 67 c</w:t>
      </w:r>
      <w:r w:rsidR="00E96DE7" w:rsidRPr="00E96DE7">
        <w:rPr>
          <w:bCs/>
        </w:rPr>
        <w:t xml:space="preserve">  ustawy ROW, wprowadzonego ustawa z dnia 16 kwietnia 2020 r., zawieszenie biegu terminów wprowadzone art. 15zzs przywołanej na wstępie ustawy uległo uchyleniu</w:t>
      </w:r>
      <w:r w:rsidR="00E96DE7">
        <w:rPr>
          <w:bCs/>
        </w:rPr>
        <w:t xml:space="preserve"> </w:t>
      </w:r>
      <w:r w:rsidR="00E96DE7" w:rsidRPr="00E96DE7">
        <w:rPr>
          <w:bCs/>
        </w:rPr>
        <w:t>z mocą wsteczną od 31 marca 2020 r. Jednocześnie nie uchylono, ani nie odwołano zapisów art. 15zzs ust 9.</w:t>
      </w:r>
    </w:p>
    <w:p w:rsidR="00E96DE7" w:rsidRPr="00E96DE7" w:rsidRDefault="00E96DE7" w:rsidP="00186688">
      <w:pPr>
        <w:pStyle w:val="Default"/>
        <w:numPr>
          <w:ilvl w:val="0"/>
          <w:numId w:val="6"/>
        </w:numPr>
        <w:jc w:val="both"/>
        <w:rPr>
          <w:bCs/>
        </w:rPr>
      </w:pPr>
      <w:r w:rsidRPr="00E96DE7">
        <w:rPr>
          <w:bCs/>
        </w:rPr>
        <w:t>Zapisy art. 15zzs ust 9 stanowią „W okresie epidemii organ lub podmiot może</w:t>
      </w:r>
      <w:r w:rsidR="00772876">
        <w:rPr>
          <w:bCs/>
        </w:rPr>
        <w:br/>
      </w:r>
      <w:r w:rsidRPr="00E96DE7">
        <w:rPr>
          <w:bCs/>
        </w:rPr>
        <w:t>z urzędu wydać odpowiednio decyzję w całości uwzględniającą żądanie strony lub uczestnika postępowania, zaświadczenie o braku podstaw do wniesienia sprzeciwu, wyrazić stanowisko albo wydać interpretację indywidualną.</w:t>
      </w:r>
      <w:r>
        <w:rPr>
          <w:bCs/>
        </w:rPr>
        <w:t>”</w:t>
      </w:r>
    </w:p>
    <w:p w:rsidR="00E96DE7" w:rsidRPr="003D0514" w:rsidRDefault="00E96DE7" w:rsidP="007B3E26">
      <w:pPr>
        <w:pStyle w:val="Default"/>
        <w:numPr>
          <w:ilvl w:val="0"/>
          <w:numId w:val="6"/>
        </w:numPr>
        <w:jc w:val="both"/>
        <w:rPr>
          <w:b/>
          <w:bCs/>
          <w:u w:val="single"/>
        </w:rPr>
      </w:pPr>
      <w:r w:rsidRPr="003D0514">
        <w:rPr>
          <w:b/>
          <w:bCs/>
          <w:u w:val="single"/>
        </w:rPr>
        <w:t>Powyższe oznacza, iż w odniesieniu do zadań realizowanych w ramach PROW 2014-2020 bieg wszystkich terminów został odwieszony, lecz nie ma możliwości wydawania rozstrzygnięć negatywnych, tak w zakresie oceny wniosków, jak i rozstrzygania protestów, ani pozostawiania spraw bez rozpatrzenia.</w:t>
      </w:r>
    </w:p>
    <w:p w:rsidR="00E96DE7" w:rsidRPr="003D0514" w:rsidRDefault="00E96DE7" w:rsidP="007B3E26">
      <w:pPr>
        <w:pStyle w:val="Default"/>
        <w:numPr>
          <w:ilvl w:val="0"/>
          <w:numId w:val="6"/>
        </w:numPr>
        <w:jc w:val="both"/>
        <w:rPr>
          <w:bCs/>
          <w:u w:val="single"/>
        </w:rPr>
      </w:pPr>
      <w:r w:rsidRPr="003D0514">
        <w:rPr>
          <w:bCs/>
          <w:u w:val="single"/>
        </w:rPr>
        <w:t xml:space="preserve">W zakresie dot. wdrażania PO RYBY, niestety nadal zgodnie z opinią radców prawnych, wszystkie terminy są zawieszone oraz też nie można ani wydawać negatywnych rozstrzygnięć ani pozostawiać spraw bez rozpatrzenia. </w:t>
      </w:r>
    </w:p>
    <w:p w:rsidR="00D46316" w:rsidRDefault="00D46316" w:rsidP="00D46316">
      <w:pPr>
        <w:pStyle w:val="Default"/>
        <w:rPr>
          <w:bCs/>
        </w:rPr>
      </w:pPr>
    </w:p>
    <w:p w:rsidR="0037001A" w:rsidRDefault="0037001A" w:rsidP="00D46316">
      <w:pPr>
        <w:pStyle w:val="Default"/>
        <w:rPr>
          <w:bCs/>
        </w:rPr>
      </w:pPr>
    </w:p>
    <w:p w:rsidR="00D46316" w:rsidRPr="0037001A" w:rsidRDefault="00D46316" w:rsidP="0037001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001A">
        <w:rPr>
          <w:rFonts w:ascii="Times New Roman" w:hAnsi="Times New Roman"/>
          <w:bCs/>
          <w:color w:val="000000"/>
          <w:sz w:val="24"/>
          <w:szCs w:val="24"/>
        </w:rPr>
        <w:t>Rezygnacja z zasady konkurencyjności a racjonalność ponoszenia wydatków – czy są jakieś rekomendacje dla beneficjentów w tym zakresie?</w:t>
      </w:r>
    </w:p>
    <w:p w:rsidR="00772876" w:rsidRPr="00772876" w:rsidRDefault="00772876" w:rsidP="0077287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2876">
        <w:rPr>
          <w:rFonts w:ascii="Times New Roman" w:hAnsi="Times New Roman"/>
          <w:bCs/>
          <w:color w:val="000000"/>
          <w:sz w:val="24"/>
          <w:szCs w:val="24"/>
        </w:rPr>
        <w:t xml:space="preserve">W dniu 16 kwietnia 2020 r.  uchylone zostały przepisy dotyczące obowiązku stosowania konkurencyjnego trybu wyboru wykonawców dla działań/poddziałań i pomocy </w:t>
      </w:r>
      <w:r w:rsidRPr="00772876">
        <w:rPr>
          <w:rFonts w:ascii="Times New Roman" w:hAnsi="Times New Roman"/>
          <w:bCs/>
          <w:color w:val="000000"/>
          <w:sz w:val="24"/>
          <w:szCs w:val="24"/>
        </w:rPr>
        <w:lastRenderedPageBreak/>
        <w:t>technicznej realizowanych w ramach Programu Rozwoju Obszarów Wiejskich na lata 2014 – 2020. W związku z powyższym, zgodnie z obowiązującym stanem prawnym koszty kwalifikowalne, w tym również te, których wartość przekracza równowartość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772876">
        <w:rPr>
          <w:rFonts w:ascii="Times New Roman" w:hAnsi="Times New Roman"/>
          <w:bCs/>
          <w:color w:val="000000"/>
          <w:sz w:val="24"/>
          <w:szCs w:val="24"/>
        </w:rPr>
        <w:t>w złotych kwoty 30 tys. euro, nie muszą być ponoszone w wyniku wyboru wykonawców poszczególnych zadań ujętych w zestawieniu rzeczowo-finansowym operacji z zachowaniem kon</w:t>
      </w:r>
      <w:r w:rsidR="00553572">
        <w:rPr>
          <w:rFonts w:ascii="Times New Roman" w:hAnsi="Times New Roman"/>
          <w:bCs/>
          <w:color w:val="000000"/>
          <w:sz w:val="24"/>
          <w:szCs w:val="24"/>
        </w:rPr>
        <w:t xml:space="preserve">kurencyjnego trybu ich wyboru. </w:t>
      </w:r>
      <w:r w:rsidRPr="00772876">
        <w:rPr>
          <w:rFonts w:ascii="Times New Roman" w:hAnsi="Times New Roman"/>
          <w:bCs/>
          <w:color w:val="000000"/>
          <w:sz w:val="24"/>
          <w:szCs w:val="24"/>
        </w:rPr>
        <w:t>Czy beneficjenci poddziałania 19.2 są zobowiązania po zawarciu umowy z UMWM do przeprowadzenia rozeznania rynku np. (oferty dostaw</w:t>
      </w:r>
      <w:r w:rsidR="00553572">
        <w:rPr>
          <w:rFonts w:ascii="Times New Roman" w:hAnsi="Times New Roman"/>
          <w:bCs/>
          <w:color w:val="000000"/>
          <w:sz w:val="24"/>
          <w:szCs w:val="24"/>
        </w:rPr>
        <w:t>ców, wydruki internetowe, itp.)?</w:t>
      </w:r>
      <w:r w:rsidRPr="00772876">
        <w:rPr>
          <w:rFonts w:ascii="Times New Roman" w:hAnsi="Times New Roman"/>
          <w:bCs/>
          <w:color w:val="000000"/>
          <w:sz w:val="24"/>
          <w:szCs w:val="24"/>
        </w:rPr>
        <w:t xml:space="preserve"> Czy takie dokumenty będą wymagane w celu oceny racjonalności kosztów na etapie wniosku</w:t>
      </w:r>
      <w:r w:rsidR="00553572">
        <w:rPr>
          <w:rFonts w:ascii="Times New Roman" w:hAnsi="Times New Roman"/>
          <w:bCs/>
          <w:color w:val="000000"/>
          <w:sz w:val="24"/>
          <w:szCs w:val="24"/>
        </w:rPr>
        <w:br/>
      </w:r>
      <w:r w:rsidRPr="00772876">
        <w:rPr>
          <w:rFonts w:ascii="Times New Roman" w:hAnsi="Times New Roman"/>
          <w:bCs/>
          <w:color w:val="000000"/>
          <w:sz w:val="24"/>
          <w:szCs w:val="24"/>
        </w:rPr>
        <w:t>o płatność?.</w:t>
      </w:r>
    </w:p>
    <w:p w:rsidR="00D46316" w:rsidRDefault="00D46316" w:rsidP="00D46316">
      <w:pPr>
        <w:pStyle w:val="Akapitzlist"/>
        <w:rPr>
          <w:rFonts w:ascii="Times New Roman" w:hAnsi="Times New Roman"/>
          <w:bCs/>
          <w:color w:val="000000"/>
          <w:sz w:val="24"/>
          <w:szCs w:val="24"/>
        </w:rPr>
      </w:pPr>
    </w:p>
    <w:p w:rsidR="00772876" w:rsidRPr="00E96DE7" w:rsidRDefault="00772876" w:rsidP="00D46316">
      <w:pPr>
        <w:pStyle w:val="Akapitzli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Odpowiedź:</w:t>
      </w:r>
    </w:p>
    <w:p w:rsidR="00C01734" w:rsidRDefault="00E96DE7" w:rsidP="00E96DE7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6DE7">
        <w:rPr>
          <w:rFonts w:ascii="Times New Roman" w:hAnsi="Times New Roman"/>
          <w:bCs/>
          <w:color w:val="000000"/>
          <w:sz w:val="24"/>
          <w:szCs w:val="24"/>
        </w:rPr>
        <w:t>W dni</w:t>
      </w:r>
      <w:r>
        <w:rPr>
          <w:rFonts w:ascii="Times New Roman" w:hAnsi="Times New Roman"/>
          <w:bCs/>
          <w:color w:val="000000"/>
          <w:sz w:val="24"/>
          <w:szCs w:val="24"/>
        </w:rPr>
        <w:t>u 18.04.2020 r. weszła w życie u</w:t>
      </w:r>
      <w:r w:rsidRPr="00E96DE7">
        <w:rPr>
          <w:rFonts w:ascii="Times New Roman" w:hAnsi="Times New Roman"/>
          <w:bCs/>
          <w:color w:val="000000"/>
          <w:sz w:val="24"/>
          <w:szCs w:val="24"/>
        </w:rPr>
        <w:t>stawa z dnia 16 kwietnia 2020 r. o szczególnych instrumentach wsparcia w związku z rozprzestrzenianiem się wirusa SARS-CoV-2 (Dz.</w:t>
      </w:r>
      <w:r>
        <w:rPr>
          <w:rFonts w:ascii="Times New Roman" w:hAnsi="Times New Roman"/>
          <w:bCs/>
          <w:color w:val="000000"/>
          <w:sz w:val="24"/>
          <w:szCs w:val="24"/>
        </w:rPr>
        <w:t>U. poz. 695) zmieniająca m.in. u</w:t>
      </w:r>
      <w:r w:rsidRPr="00E96DE7">
        <w:rPr>
          <w:rFonts w:ascii="Times New Roman" w:hAnsi="Times New Roman"/>
          <w:bCs/>
          <w:color w:val="000000"/>
          <w:sz w:val="24"/>
          <w:szCs w:val="24"/>
        </w:rPr>
        <w:t xml:space="preserve">stawę z dnia 20 lutego 2015 r. o wspieraniu rozwoju obszarów wiejskich z udziałem środków Europejskiego Funduszu Rolnego na rzecz Rozwoju Obszarów Wiejskich w ramach Programu Rozwoju Obszarów Wiejskich na lata 2014–2020 (Dz. U. z 2020 r. poz. 217 i 300). </w:t>
      </w:r>
    </w:p>
    <w:p w:rsidR="00E96DE7" w:rsidRPr="00E96DE7" w:rsidRDefault="00E96DE7" w:rsidP="00C01734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6DE7">
        <w:rPr>
          <w:rFonts w:ascii="Times New Roman" w:hAnsi="Times New Roman"/>
          <w:bCs/>
          <w:color w:val="000000"/>
          <w:sz w:val="24"/>
          <w:szCs w:val="24"/>
          <w:u w:val="single"/>
        </w:rPr>
        <w:t>Zgodnie z art. 53 pkt 5 ww. ustawy z dnia 16 kwietnia 2020 r. z dniem jej wejścia</w:t>
      </w:r>
      <w:r w:rsidR="00553572">
        <w:rPr>
          <w:rFonts w:ascii="Times New Roman" w:hAnsi="Times New Roman"/>
          <w:bCs/>
          <w:color w:val="000000"/>
          <w:sz w:val="24"/>
          <w:szCs w:val="24"/>
          <w:u w:val="single"/>
        </w:rPr>
        <w:br/>
      </w:r>
      <w:r w:rsidRPr="00E96DE7">
        <w:rPr>
          <w:rFonts w:ascii="Times New Roman" w:hAnsi="Times New Roman"/>
          <w:bCs/>
          <w:color w:val="000000"/>
          <w:sz w:val="24"/>
          <w:szCs w:val="24"/>
          <w:u w:val="single"/>
        </w:rPr>
        <w:t>w życie (18.04.2020 r.) uchylone zostały przepisy dotyczące obowiązku stosowania konkurencyjnego trybu wyboru wykonawców dla działań/poddziałań i pomocy technicznej realizowanych w ramach Programu Rozwoju Obszarów Wiejskich na lata 2014 – 2020.</w:t>
      </w:r>
      <w:r w:rsidRPr="00C017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01734">
        <w:rPr>
          <w:rFonts w:ascii="Times New Roman" w:hAnsi="Times New Roman"/>
          <w:bCs/>
          <w:color w:val="000000"/>
          <w:sz w:val="24"/>
          <w:szCs w:val="24"/>
          <w:u w:val="single"/>
        </w:rPr>
        <w:t>Tym samym we wszystkich działaniach/poddziałaniach PROW na lata 2014-2020</w:t>
      </w:r>
      <w:r w:rsidR="00C01734" w:rsidRPr="00C01734">
        <w:rPr>
          <w:rFonts w:ascii="Times New Roman" w:hAnsi="Times New Roman"/>
          <w:bCs/>
          <w:color w:val="000000"/>
          <w:sz w:val="24"/>
          <w:szCs w:val="24"/>
          <w:u w:val="single"/>
        </w:rPr>
        <w:t>,</w:t>
      </w:r>
      <w:r w:rsidRPr="00C01734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C01734" w:rsidRPr="00C01734">
        <w:rPr>
          <w:rFonts w:ascii="Times New Roman" w:hAnsi="Times New Roman"/>
          <w:bCs/>
          <w:color w:val="000000"/>
          <w:sz w:val="24"/>
          <w:szCs w:val="24"/>
          <w:u w:val="single"/>
        </w:rPr>
        <w:t>w których</w:t>
      </w:r>
      <w:r w:rsidRPr="00C01734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dotychczas obowiązywał konkurencyjny tryb wyboru wykonawcó</w:t>
      </w:r>
      <w:r w:rsidR="00C01734" w:rsidRPr="00C01734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w, a także w pomocy technicznej, </w:t>
      </w:r>
      <w:r w:rsidRPr="00C01734">
        <w:rPr>
          <w:rFonts w:ascii="Times New Roman" w:hAnsi="Times New Roman"/>
          <w:bCs/>
          <w:color w:val="000000"/>
          <w:sz w:val="24"/>
          <w:szCs w:val="24"/>
          <w:u w:val="single"/>
        </w:rPr>
        <w:t>przestaje on obowiązywać z dniem 18.04.2020 r.</w:t>
      </w:r>
      <w:r w:rsidRPr="00E96D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96DE7" w:rsidRPr="00C01734" w:rsidRDefault="00E96DE7" w:rsidP="00C01734">
      <w:pPr>
        <w:pStyle w:val="Akapitzli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017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Biorąc </w:t>
      </w:r>
      <w:r w:rsidR="00C01734" w:rsidRPr="00C017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pod uwagę powyższe beneficjenci, </w:t>
      </w:r>
      <w:r w:rsidRPr="00C017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którzy nie są zobowiązani do stosowania ustawy Prawo zamówień publicznych, nie mają obowiązku wyłanianie wykonawców w trybie konkurencyjnym.</w:t>
      </w:r>
    </w:p>
    <w:p w:rsidR="00E96DE7" w:rsidRPr="00E96DE7" w:rsidRDefault="00E96DE7" w:rsidP="00C01734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6DE7">
        <w:rPr>
          <w:rFonts w:ascii="Times New Roman" w:hAnsi="Times New Roman"/>
          <w:bCs/>
          <w:color w:val="000000"/>
          <w:sz w:val="24"/>
          <w:szCs w:val="24"/>
        </w:rPr>
        <w:t xml:space="preserve">Poniżej link do strony na której został zamieszczony komunikat w przedmiotowym zakresie – zostały tam zamieszczone </w:t>
      </w:r>
      <w:r w:rsidR="00C01734">
        <w:rPr>
          <w:rFonts w:ascii="Times New Roman" w:hAnsi="Times New Roman"/>
          <w:bCs/>
          <w:color w:val="000000"/>
          <w:sz w:val="24"/>
          <w:szCs w:val="24"/>
        </w:rPr>
        <w:t>opis szczegółowych sytuacji,</w:t>
      </w:r>
      <w:r w:rsidRPr="00E96DE7">
        <w:rPr>
          <w:rFonts w:ascii="Times New Roman" w:hAnsi="Times New Roman"/>
          <w:bCs/>
          <w:color w:val="000000"/>
          <w:sz w:val="24"/>
          <w:szCs w:val="24"/>
        </w:rPr>
        <w:t xml:space="preserve"> które mogą wystąpić w trakcie realizacji operacji i kiedy można odstąpić od wyboru wykonawców w trybie konkurencyjnym.</w:t>
      </w:r>
    </w:p>
    <w:p w:rsidR="00E96DE7" w:rsidRPr="00E96DE7" w:rsidRDefault="00BD7832" w:rsidP="00C01734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5" w:history="1">
        <w:r w:rsidR="00C01734" w:rsidRPr="00AF71C1">
          <w:rPr>
            <w:rStyle w:val="Hipercze"/>
            <w:rFonts w:ascii="Times New Roman" w:hAnsi="Times New Roman"/>
            <w:bCs/>
            <w:sz w:val="24"/>
            <w:szCs w:val="24"/>
          </w:rPr>
          <w:t>https://www.prow.malopolska.pl/wiadomosci/komunikat-dotyczacy-trybu-konkurecyjnego-w-ramach-prow-2014-2020</w:t>
        </w:r>
      </w:hyperlink>
      <w:r w:rsidR="00C017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96DE7" w:rsidRPr="00E96DE7" w:rsidRDefault="00C01734" w:rsidP="00C01734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Dla </w:t>
      </w:r>
      <w:r w:rsidR="00E96DE7" w:rsidRPr="00E96DE7">
        <w:rPr>
          <w:rFonts w:ascii="Times New Roman" w:hAnsi="Times New Roman"/>
          <w:bCs/>
          <w:color w:val="000000"/>
          <w:sz w:val="24"/>
          <w:szCs w:val="24"/>
        </w:rPr>
        <w:t>beneficjentów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96DE7" w:rsidRPr="00E96DE7">
        <w:rPr>
          <w:rFonts w:ascii="Times New Roman" w:hAnsi="Times New Roman"/>
          <w:bCs/>
          <w:color w:val="000000"/>
          <w:sz w:val="24"/>
          <w:szCs w:val="24"/>
        </w:rPr>
        <w:t xml:space="preserve"> którzy nie są zobowiązani do stosowania ustawy Prawo zamówień publicznych, nie został określony sposób wyboru wykonawców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C017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</w:t>
      </w:r>
      <w:r w:rsidR="00E96DE7" w:rsidRPr="00C017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ależy jednak pamiętać, że na etapie oceny wniosku o płatność będzie badana racjonalność koszt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ów, czyli beneficjent powinien </w:t>
      </w:r>
      <w:r w:rsidR="00E96DE7" w:rsidRPr="00C017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jednak przeprowadzić np. rozeznanie rynku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</w:r>
      <w:r w:rsidR="00E96DE7" w:rsidRPr="00C017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 celu uzyskania oferty, która będzie potwierdzać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,</w:t>
      </w:r>
      <w:r w:rsidR="00E96DE7" w:rsidRPr="00C017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że koszty są uzasadnione ekonomicznie</w:t>
      </w:r>
      <w:r w:rsidR="003D051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,</w:t>
      </w:r>
      <w:r w:rsidR="00E96DE7" w:rsidRPr="00C017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a ceny zakupionych towarów</w:t>
      </w:r>
      <w:r w:rsidR="003D051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,</w:t>
      </w:r>
      <w:r w:rsidR="00E96DE7" w:rsidRPr="00C017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czy też zrealizow</w:t>
      </w:r>
      <w:r w:rsidR="003D051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anych usług nie odbiegają znacz</w:t>
      </w:r>
      <w:r w:rsidR="00E96DE7" w:rsidRPr="00C017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nie od cen rynkowych.</w:t>
      </w:r>
    </w:p>
    <w:p w:rsidR="00E96DE7" w:rsidRPr="00E96DE7" w:rsidRDefault="003D0514" w:rsidP="00C01734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</w:t>
      </w:r>
      <w:r w:rsidR="00E96DE7" w:rsidRPr="00E96DE7">
        <w:rPr>
          <w:rFonts w:ascii="Times New Roman" w:hAnsi="Times New Roman"/>
          <w:bCs/>
          <w:color w:val="000000"/>
          <w:sz w:val="24"/>
          <w:szCs w:val="24"/>
        </w:rPr>
        <w:t xml:space="preserve"> razie dalszych wątpliwości proszę o kontakt tel. 12 29 90 623 lub 728 485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E96DE7" w:rsidRPr="00E96DE7">
        <w:rPr>
          <w:rFonts w:ascii="Times New Roman" w:hAnsi="Times New Roman"/>
          <w:bCs/>
          <w:color w:val="000000"/>
          <w:sz w:val="24"/>
          <w:szCs w:val="24"/>
        </w:rPr>
        <w:t>523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96DE7" w:rsidRPr="00E96DE7" w:rsidRDefault="00E96DE7" w:rsidP="00D46316">
      <w:pPr>
        <w:pStyle w:val="Akapitzlist"/>
        <w:rPr>
          <w:rFonts w:ascii="Times New Roman" w:hAnsi="Times New Roman"/>
          <w:bCs/>
          <w:color w:val="000000"/>
          <w:sz w:val="24"/>
          <w:szCs w:val="24"/>
        </w:rPr>
      </w:pPr>
    </w:p>
    <w:p w:rsidR="00D46316" w:rsidRPr="0037001A" w:rsidRDefault="00D46316" w:rsidP="0037001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001A">
        <w:rPr>
          <w:rFonts w:ascii="Times New Roman" w:hAnsi="Times New Roman"/>
          <w:bCs/>
          <w:color w:val="000000"/>
          <w:sz w:val="24"/>
          <w:szCs w:val="24"/>
        </w:rPr>
        <w:lastRenderedPageBreak/>
        <w:t>Projektowana zmiana rozporządzenia w sprawie szczegółowych warunków i trybu przyznawania pomocy finansowej w ramach poddzia</w:t>
      </w:r>
      <w:r w:rsidR="003D0514" w:rsidRPr="0037001A">
        <w:rPr>
          <w:rFonts w:ascii="Times New Roman" w:hAnsi="Times New Roman"/>
          <w:bCs/>
          <w:color w:val="000000"/>
          <w:sz w:val="24"/>
          <w:szCs w:val="24"/>
        </w:rPr>
        <w:t>łania „Wsparcie na wdrażanie…”</w:t>
      </w:r>
    </w:p>
    <w:p w:rsidR="00D46316" w:rsidRPr="00834C17" w:rsidRDefault="00D46316" w:rsidP="0037001A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53572" w:rsidRDefault="00553572" w:rsidP="00834C17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Odpowiedź:</w:t>
      </w:r>
    </w:p>
    <w:p w:rsidR="003D0514" w:rsidRDefault="003D0514" w:rsidP="00834C17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4C17">
        <w:rPr>
          <w:rFonts w:ascii="Times New Roman" w:hAnsi="Times New Roman"/>
          <w:bCs/>
          <w:color w:val="000000"/>
          <w:sz w:val="24"/>
          <w:szCs w:val="24"/>
        </w:rPr>
        <w:t xml:space="preserve">Z informacji uzyskanych z IZ PROW 2014-2020 zmiany są w fazie projektowania – na pewno obejmą takie kwestie, jak: rezygnacja z zabezpieczenia należytego wykonania umowy w postaci weksla w odniesieniu do jednostek sektora finansów publicznych, możliwość </w:t>
      </w:r>
      <w:r w:rsidR="00834C17">
        <w:rPr>
          <w:rFonts w:ascii="Times New Roman" w:hAnsi="Times New Roman"/>
          <w:bCs/>
          <w:color w:val="000000"/>
          <w:sz w:val="24"/>
          <w:szCs w:val="24"/>
        </w:rPr>
        <w:t xml:space="preserve">dokonywania szerokich zmian umów, </w:t>
      </w:r>
      <w:r w:rsidR="00834C17" w:rsidRPr="00834C17">
        <w:rPr>
          <w:rFonts w:ascii="Times New Roman" w:hAnsi="Times New Roman"/>
          <w:bCs/>
          <w:color w:val="000000"/>
          <w:sz w:val="24"/>
          <w:szCs w:val="24"/>
        </w:rPr>
        <w:t>całkowite zniesienie zobowiązania dotyczącego uzyskania przez beneficjentów 30% poziomu</w:t>
      </w:r>
      <w:r w:rsidR="00834C17">
        <w:rPr>
          <w:rFonts w:ascii="Times New Roman" w:hAnsi="Times New Roman"/>
          <w:bCs/>
          <w:color w:val="000000"/>
          <w:sz w:val="24"/>
          <w:szCs w:val="24"/>
        </w:rPr>
        <w:t xml:space="preserve"> sprzedaży produktów lub usług, dopuszczona ma być z</w:t>
      </w:r>
      <w:r w:rsidR="00967B2E">
        <w:rPr>
          <w:rFonts w:ascii="Times New Roman" w:hAnsi="Times New Roman"/>
          <w:bCs/>
          <w:color w:val="000000"/>
          <w:sz w:val="24"/>
          <w:szCs w:val="24"/>
        </w:rPr>
        <w:t xml:space="preserve">miana celu realizacji operacji i inne. Część z informacji na ten temat znajduje się w piśmie z dnia </w:t>
      </w:r>
      <w:r w:rsidR="0020179D">
        <w:rPr>
          <w:rFonts w:ascii="Times New Roman" w:hAnsi="Times New Roman"/>
          <w:bCs/>
          <w:color w:val="000000"/>
          <w:sz w:val="24"/>
          <w:szCs w:val="24"/>
        </w:rPr>
        <w:t xml:space="preserve">23.04.2020 r., a część w piśmie z dnia </w:t>
      </w:r>
      <w:r w:rsidR="00967B2E">
        <w:rPr>
          <w:rFonts w:ascii="Times New Roman" w:hAnsi="Times New Roman"/>
          <w:bCs/>
          <w:color w:val="000000"/>
          <w:sz w:val="24"/>
          <w:szCs w:val="24"/>
        </w:rPr>
        <w:t>05.05.2020 r. Niestety IZ PROW nie przesłała nam jeszcze projektu zmian rozporządzenia ww. zakresie, nie jest on także jeszcze dostępny na RCL.</w:t>
      </w:r>
    </w:p>
    <w:p w:rsidR="00967B2E" w:rsidRPr="00834C17" w:rsidRDefault="00967B2E" w:rsidP="00834C17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46316" w:rsidRDefault="00D46316" w:rsidP="00D46316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Zapisy aneksu do umowy przyznania pomocy.</w:t>
      </w:r>
    </w:p>
    <w:p w:rsidR="00553572" w:rsidRDefault="00553572" w:rsidP="00967B2E">
      <w:pPr>
        <w:pStyle w:val="Default"/>
        <w:ind w:left="708"/>
        <w:jc w:val="both"/>
        <w:rPr>
          <w:bCs/>
        </w:rPr>
      </w:pPr>
    </w:p>
    <w:p w:rsidR="00553572" w:rsidRDefault="00553572" w:rsidP="00967B2E">
      <w:pPr>
        <w:pStyle w:val="Default"/>
        <w:ind w:left="708"/>
        <w:jc w:val="both"/>
        <w:rPr>
          <w:bCs/>
        </w:rPr>
      </w:pPr>
      <w:r>
        <w:rPr>
          <w:bCs/>
        </w:rPr>
        <w:t>Odpowiedź:</w:t>
      </w:r>
    </w:p>
    <w:p w:rsidR="00967B2E" w:rsidRPr="0037001A" w:rsidRDefault="00967B2E" w:rsidP="0037001A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001A">
        <w:rPr>
          <w:rFonts w:ascii="Times New Roman" w:hAnsi="Times New Roman"/>
          <w:bCs/>
          <w:color w:val="000000"/>
          <w:sz w:val="24"/>
          <w:szCs w:val="24"/>
        </w:rPr>
        <w:t xml:space="preserve">Jeśli chodzi o dodatkowy aneks, pozwalający jednorazowo do końca 2020 r. dokonać przesunięcia nie więcej niż 15% wartości środków zaplanowanych do realizacji od początku realizacji LSR do 2021 roku, to </w:t>
      </w:r>
      <w:r w:rsidR="0020179D" w:rsidRPr="0037001A">
        <w:rPr>
          <w:rFonts w:ascii="Times New Roman" w:hAnsi="Times New Roman"/>
          <w:bCs/>
          <w:color w:val="000000"/>
          <w:sz w:val="24"/>
          <w:szCs w:val="24"/>
        </w:rPr>
        <w:t>przesłaliśmy Państwu pismo IZ PROW w tej sprawie wraz z wzorem aneksu w dniu 27 kwietnia br. Więcej szczegółów jeszcze nie znamy.</w:t>
      </w:r>
    </w:p>
    <w:p w:rsidR="00BD7832" w:rsidRDefault="00D46316" w:rsidP="00D46316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Dotychczas zgłoszone do UMWM problemy beneficjentów – zajęte przez SW stanowiska.</w:t>
      </w:r>
      <w:r w:rsidR="004F1896">
        <w:rPr>
          <w:bCs/>
        </w:rPr>
        <w:t xml:space="preserve"> </w:t>
      </w:r>
    </w:p>
    <w:p w:rsidR="00D46316" w:rsidRDefault="00BD7832" w:rsidP="00BD7832">
      <w:pPr>
        <w:pStyle w:val="Default"/>
        <w:ind w:left="720"/>
        <w:jc w:val="both"/>
        <w:rPr>
          <w:bCs/>
        </w:rPr>
      </w:pPr>
      <w:r>
        <w:rPr>
          <w:bCs/>
        </w:rPr>
        <w:t xml:space="preserve">Poniżej kilka pytań i odpowiedzi. </w:t>
      </w:r>
      <w:r w:rsidR="004F1896" w:rsidRPr="00BD7832">
        <w:rPr>
          <w:bCs/>
        </w:rPr>
        <w:t>Dodatkowe wyjaśnienia odnośnie pu</w:t>
      </w:r>
      <w:r>
        <w:rPr>
          <w:bCs/>
        </w:rPr>
        <w:t xml:space="preserve">nktów pisma opracowanego przez </w:t>
      </w:r>
      <w:r w:rsidR="004F1896" w:rsidRPr="00BD7832">
        <w:rPr>
          <w:bCs/>
        </w:rPr>
        <w:t>MRIRW Departament FE przekaże we wtorek 12 maja 2020 roku</w:t>
      </w:r>
      <w:r>
        <w:rPr>
          <w:bCs/>
        </w:rPr>
        <w:t>.</w:t>
      </w:r>
    </w:p>
    <w:p w:rsidR="003649B8" w:rsidRPr="00BD7832" w:rsidRDefault="003649B8" w:rsidP="003649B8">
      <w:pPr>
        <w:pStyle w:val="NormalnyWeb"/>
        <w:ind w:left="720"/>
        <w:rPr>
          <w:u w:val="single"/>
        </w:rPr>
      </w:pPr>
      <w:r w:rsidRPr="00BD7832">
        <w:rPr>
          <w:u w:val="single"/>
        </w:rPr>
        <w:t>PREMIA:</w:t>
      </w:r>
    </w:p>
    <w:p w:rsid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t xml:space="preserve">- 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>Wnioskodawca podpisał końcem roku umowę o dofinansowanie oraz otrzymał I transzę dofinansowania. Wniosek o wypłatę II transzy ma złożyć do końca bieżącego roku. Operacja polega na stworzeniu obiektu noclegowego. Czy Wnioskodawca może skorzystać z pomocy rządowej w ramach tarczy, a dokładnie z "wakacji od ZUS"? Czy z takiej pomocy mogą korzystać beneficjenci będący w trakcie realizacji operacji?</w:t>
      </w:r>
    </w:p>
    <w:p w:rsid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649B8" w:rsidRP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Odpowiedź:</w:t>
      </w:r>
    </w:p>
    <w:p w:rsidR="003649B8" w:rsidRP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9B8">
        <w:rPr>
          <w:rFonts w:ascii="Times New Roman" w:hAnsi="Times New Roman"/>
          <w:bCs/>
          <w:color w:val="000000"/>
          <w:sz w:val="24"/>
          <w:szCs w:val="24"/>
        </w:rPr>
        <w:t>Zgodnie z pismem Minist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 xml:space="preserve">erstwa Rolnictwa i Rozwoju Wsi  beneficjenci 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>Progr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 xml:space="preserve">amu Rozwoju Obszarów Wiejskich 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>mają możliwość skorzystania z 3 miesięcznego zwolnienia w opłacaniu składek ZUS (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marzec, kwiecień, maj 2020 roku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>) niezależnie od momentu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 na ja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 xml:space="preserve">kim etapie realizacji projektu 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>się znajdują.  Jed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>nym warunkiem jest oczywiście spełnienie wymagań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 jakie muszą spełnić beneficjenci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 by otrzymać pozytywną opinię  w tym zakresie od ZUS. Zgodnie z zapisami tzw. Tarczy antykryzysowej, przedsiębiorcy  korzystający w ramach realizacji operacji „Podejmowanie działalności gospodarczej”  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z tzw. „ulgi na start” oraz  Ci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, którzy 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lastRenderedPageBreak/>
        <w:t>zgłosili się do ubezpieczeń  dobrowolnie nie mogą skorzystać z tzw. „Wakacji od ZUS”.  </w:t>
      </w:r>
    </w:p>
    <w:p w:rsidR="003649B8" w:rsidRP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9B8">
        <w:rPr>
          <w:rFonts w:ascii="Times New Roman" w:hAnsi="Times New Roman"/>
          <w:bCs/>
          <w:color w:val="000000"/>
          <w:sz w:val="24"/>
          <w:szCs w:val="24"/>
        </w:rPr>
        <w:t>- czy beneficjenci którzy zrealizowali operację i są na etapie okresu trwałości projektu mogą korzystać z "wakacji od ZUS". Czy okres trwałości projektu zostanie wydłużony o okres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 w którym nie były odprowadzane składki do ZUS? Czy beneficjenci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 którzy spełniają warunki do skorzystania z "wakacji od ZUS" zgodnie z przepisami krajowymi, będą musieli przedstawić dokumenty w SW, że taka pomoc w ich przypadku była konieczna? Czy SW może uznać, że obecna sytuacja nie wpłynęła negatywnie na sytuację beneficjenta i skorzystanie z wakacji składkowych było nieuzasadnione?</w:t>
      </w:r>
    </w:p>
    <w:p w:rsidR="00BD7832" w:rsidRDefault="00BD7832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F1896" w:rsidRDefault="00BD7832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Odpowiedź:</w:t>
      </w:r>
    </w:p>
    <w:p w:rsid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9B8">
        <w:rPr>
          <w:rFonts w:ascii="Times New Roman" w:hAnsi="Times New Roman"/>
          <w:bCs/>
          <w:color w:val="000000"/>
          <w:sz w:val="24"/>
          <w:szCs w:val="24"/>
        </w:rPr>
        <w:t>Beneficjenci, którzy znajdują się na etapie związania z celem również mogą skorzystać z tzw. ”wakacji od ZUS”. W związku z faktem, że zawieszenie w opłacaniu składek  ZUS nie jest równoznaczne z brakiem podlegania tym  ubezpieczeniom społecznym,  dlatego też nie można traktować  nieopłacania składek ZUS prze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 beneficjenta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 jako nie wykonania zobowiązania umownego. Tym samym SWM nie ma podstaw do wy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 xml:space="preserve">dłużania zobowiązania umownego w tym zakresie. 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Beneficjent  powinien poinformować o zaistniałej sytuacji samorząd województwa. Samorząd Województwa Małopolskiego nie będzie negował decyzji podjętych przez inny organ odpowiedzialny merytorycznie za wydanie opinii w tym zakresie. </w:t>
      </w:r>
    </w:p>
    <w:p w:rsidR="004F1896" w:rsidRPr="003649B8" w:rsidRDefault="004F1896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9B8">
        <w:rPr>
          <w:rFonts w:ascii="Times New Roman" w:hAnsi="Times New Roman"/>
          <w:bCs/>
          <w:color w:val="000000"/>
          <w:sz w:val="24"/>
          <w:szCs w:val="24"/>
        </w:rPr>
        <w:t>- czy jest możliwe zawieszanie działalności gospodarczej?</w:t>
      </w:r>
    </w:p>
    <w:p w:rsidR="004F1896" w:rsidRDefault="004F1896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F1896" w:rsidRPr="003649B8" w:rsidRDefault="004F1896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Odpowiedź: </w:t>
      </w:r>
    </w:p>
    <w:p w:rsid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9B8">
        <w:rPr>
          <w:rFonts w:ascii="Times New Roman" w:hAnsi="Times New Roman"/>
          <w:bCs/>
          <w:color w:val="000000"/>
          <w:sz w:val="24"/>
          <w:szCs w:val="24"/>
        </w:rPr>
        <w:t>Tak. Zgodnie z pismem otrzymanym od Ministerstwa Rolnictwa i Rozwoju  Wsi z dnia 5 maja 2020 roku w przypadku skorzystania z prawa do zawieszania działalności gospodarczej w ramach operacji związanych z działalnością gospodarczą, czy to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br/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w trakcie realizacji operacji, czy to w okresie związania z celem zobowiązanie umowne również nie ulegnie wydłużeniu. </w:t>
      </w:r>
    </w:p>
    <w:p w:rsidR="004F1896" w:rsidRPr="003649B8" w:rsidRDefault="004F1896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9B8">
        <w:rPr>
          <w:rFonts w:ascii="Times New Roman" w:hAnsi="Times New Roman"/>
          <w:bCs/>
          <w:color w:val="000000"/>
          <w:sz w:val="24"/>
          <w:szCs w:val="24"/>
        </w:rPr>
        <w:t>- czy w obecnej sytuacji beneficjenci będą ponosić konsekwencje za niezrealizowanie co najmniej 30% wartości określonych w biznesplanie?</w:t>
      </w:r>
    </w:p>
    <w:p w:rsidR="003649B8" w:rsidRDefault="004F1896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Odpowiedź:</w:t>
      </w:r>
    </w:p>
    <w:p w:rsidR="003649B8" w:rsidRP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9B8">
        <w:rPr>
          <w:rFonts w:ascii="Times New Roman" w:hAnsi="Times New Roman"/>
          <w:bCs/>
          <w:color w:val="000000"/>
          <w:sz w:val="24"/>
          <w:szCs w:val="24"/>
        </w:rPr>
        <w:t>Aktualnie zobowiązanie umowne w zakresie 30% ilości lub wartości wykonanych usług  jest weryfikowane przez Samorząd Województwa Małopolskiego zgodnie z obowiązującymi przepisami. Czyli za niewykonanie tegoż zobowiązania beneficjentowi grozi wypowiedzenie zawartej z SW umowy o przyznaniu pomocy. Oczywiście beneficjent może skorzystać z zapisów par. 14 umowy dot. siły wyższej, jednakże składając wniosek będzie musiał udokumentować że stan epidemii uniemożliwił mu w ciągu roku od dnia wypłaty pomocy  zreal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izowanie zobowiązania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 umowne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go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4F1896">
        <w:rPr>
          <w:rFonts w:ascii="Times New Roman" w:hAnsi="Times New Roman"/>
          <w:bCs/>
          <w:color w:val="000000"/>
          <w:sz w:val="24"/>
          <w:szCs w:val="24"/>
        </w:rPr>
        <w:t>Zwolnienie ze zobowiązania lub czasowe jego zwolnienie z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 xml:space="preserve">e zobowiązania </w:t>
      </w:r>
      <w:r w:rsidR="004F1896">
        <w:rPr>
          <w:rFonts w:ascii="Times New Roman" w:hAnsi="Times New Roman"/>
          <w:bCs/>
          <w:color w:val="000000"/>
          <w:sz w:val="24"/>
          <w:szCs w:val="24"/>
        </w:rPr>
        <w:t>będzie zależało również od rodzaju działalności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F1896">
        <w:rPr>
          <w:rFonts w:ascii="Times New Roman" w:hAnsi="Times New Roman"/>
          <w:bCs/>
          <w:color w:val="000000"/>
          <w:sz w:val="24"/>
          <w:szCs w:val="24"/>
        </w:rPr>
        <w:t xml:space="preserve"> jaką wykonuje. Po wejściu w życi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e rozporządzenia wykonawczego, które jest w fazie projektowania przez IZ (</w:t>
      </w:r>
      <w:r w:rsidR="004F1896">
        <w:rPr>
          <w:rFonts w:ascii="Times New Roman" w:hAnsi="Times New Roman"/>
          <w:bCs/>
          <w:color w:val="000000"/>
          <w:sz w:val="24"/>
          <w:szCs w:val="24"/>
        </w:rPr>
        <w:t>mówimy tutaj o 1 m-</w:t>
      </w:r>
      <w:proofErr w:type="spellStart"/>
      <w:r w:rsidR="004F1896">
        <w:rPr>
          <w:rFonts w:ascii="Times New Roman" w:hAnsi="Times New Roman"/>
          <w:bCs/>
          <w:color w:val="000000"/>
          <w:sz w:val="24"/>
          <w:szCs w:val="24"/>
        </w:rPr>
        <w:t>cu</w:t>
      </w:r>
      <w:proofErr w:type="spellEnd"/>
      <w:r w:rsidR="004F1896">
        <w:rPr>
          <w:rFonts w:ascii="Times New Roman" w:hAnsi="Times New Roman"/>
          <w:bCs/>
          <w:color w:val="000000"/>
          <w:sz w:val="24"/>
          <w:szCs w:val="24"/>
        </w:rPr>
        <w:t xml:space="preserve"> lub 1,5 m-ca) prawdopodobnie zobowiązanie to dla beneficjentów </w:t>
      </w:r>
      <w:r w:rsidR="004F189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zostanie uchylone, ale do tego momentu 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 xml:space="preserve">wiążące są </w:t>
      </w:r>
      <w:r w:rsidR="004F1896">
        <w:rPr>
          <w:rFonts w:ascii="Times New Roman" w:hAnsi="Times New Roman"/>
          <w:bCs/>
          <w:color w:val="000000"/>
          <w:sz w:val="24"/>
          <w:szCs w:val="24"/>
        </w:rPr>
        <w:t>obecnie obowiązujące przepisy prawa</w:t>
      </w:r>
    </w:p>
    <w:p w:rsid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7832" w:rsidRDefault="00BD7832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649B8" w:rsidRP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9B8">
        <w:rPr>
          <w:rFonts w:ascii="Times New Roman" w:hAnsi="Times New Roman"/>
          <w:bCs/>
          <w:color w:val="000000"/>
          <w:sz w:val="24"/>
          <w:szCs w:val="24"/>
        </w:rPr>
        <w:t>ROZWÓJ:</w:t>
      </w:r>
    </w:p>
    <w:p w:rsid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9B8">
        <w:rPr>
          <w:rFonts w:ascii="Times New Roman" w:hAnsi="Times New Roman"/>
          <w:bCs/>
          <w:color w:val="000000"/>
          <w:sz w:val="24"/>
          <w:szCs w:val="24"/>
        </w:rPr>
        <w:t>- czy Beneficjenci którym w znacznym stopniu spadły przychody będą mogli zwolnić pracownika zatrudnionego w ramach projektu? Czy tacy beneficjenci będą mogli być zwolnieni z obowiązku utrzymania istniejących miejsc pracy zadeklarowanych podczas składania WOD?</w:t>
      </w:r>
    </w:p>
    <w:p w:rsidR="004F1896" w:rsidRDefault="004F1896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F1896" w:rsidRDefault="004F1896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Odpowiedź:</w:t>
      </w:r>
    </w:p>
    <w:p w:rsid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W takiej sytuacji beneficjent zgodnie z par. 16 może wystąpić do Samorządu Województwa Małopolskiego z wnioskiem o  czasowe zwolnienie ze zobowiązania argumentując to aktualną sytuacją, w jakiej znalazła się działalność gospodarcza prowadzona przez beneficjenta.  Wniosek powinien mieć odwołanie do rozporządzeń wykonawczych, które wstrzymują </w:t>
      </w:r>
      <w:r w:rsidR="004F1896">
        <w:rPr>
          <w:rFonts w:ascii="Times New Roman" w:hAnsi="Times New Roman"/>
          <w:bCs/>
          <w:color w:val="000000"/>
          <w:sz w:val="24"/>
          <w:szCs w:val="24"/>
        </w:rPr>
        <w:t xml:space="preserve">działalność 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>niektórych przedsiębiorstw lub przedstawić dokumenty obrazujące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 jak stan epidemii wpłynął negatywnie na sytuację finansową firmy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 np. obrót ze stycznia lub lutego w porównaniu z obrotem firmy  w miesiącu marcu, kwietniu lub maju.  Każdorazowo wniosek taki będzie podlegał weryfikacji prze Radcę prawnego UMWM. </w:t>
      </w:r>
    </w:p>
    <w:p w:rsid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7832" w:rsidRPr="003649B8" w:rsidRDefault="00BD7832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9B8">
        <w:rPr>
          <w:rFonts w:ascii="Times New Roman" w:hAnsi="Times New Roman"/>
          <w:bCs/>
          <w:color w:val="000000"/>
          <w:sz w:val="24"/>
          <w:szCs w:val="24"/>
        </w:rPr>
        <w:t>- czy w obecnej sytuacji beneficjenci będą ponosić konsekwencje za niezrealizowanie co najmniej 30% wartości określonych w biznesplanie?</w:t>
      </w:r>
    </w:p>
    <w:p w:rsid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649B8" w:rsidRP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Odpowiedź:</w:t>
      </w:r>
    </w:p>
    <w:p w:rsidR="003649B8" w:rsidRPr="003649B8" w:rsidRDefault="003649B8" w:rsidP="003649B8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9B8">
        <w:rPr>
          <w:rFonts w:ascii="Times New Roman" w:hAnsi="Times New Roman"/>
          <w:bCs/>
          <w:color w:val="000000"/>
          <w:sz w:val="24"/>
          <w:szCs w:val="24"/>
        </w:rPr>
        <w:t>Aktualnie zobowiązanie umowne w zakresie 30% ilości lub wartości wykonanych usług  jest weryfikowane przez Samorząd Województwa Małopolskiego zgodnie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br/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>z obowiązującymi przepisami. Czyli za niewykonanie tegoż zobowiązania beneficjentowi grozi wypowiedzenie zawartej z SW umowy o przyznaniu pomocy. Oczywiście beneficjent może skorzystać z zapisów par. 16 umowy dot. siły wyższej, jednakże składając wniosek będzie musiał udokumentować, że stan epidemii uniemożliwił mu w ciągu roku od dnia wypłaty pomocy  zrealizować zobowiązanie umowne.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Zwolnienie ze zobowiązania lub czasowe jego zwolnienie z zobowiązania  będzie zależało również od rodzaju działalności jaką wykonuje. Po wejściu w życie rozporządzenia wykonawczego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które jest w fazie projektowania przez IZ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 mówimy tutaj o 1 m-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lub 1,5 m-ca) prawdopodobnie zobowiązanie to dla beneficjentów zostanie uchylone, ale do tego momentu obowiązują nas obecnie obowiązujące przepisy prawa. </w:t>
      </w:r>
    </w:p>
    <w:p w:rsidR="0037001A" w:rsidRDefault="0037001A" w:rsidP="00D46316">
      <w:pPr>
        <w:pStyle w:val="Akapitzlist"/>
        <w:rPr>
          <w:bCs/>
        </w:rPr>
      </w:pPr>
    </w:p>
    <w:p w:rsidR="004F1896" w:rsidRPr="004F1896" w:rsidRDefault="004F1896" w:rsidP="004F1896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F1896" w:rsidRPr="004F1896" w:rsidRDefault="004F1896" w:rsidP="004F1896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beneficjentka skorzystała</w:t>
      </w:r>
      <w:r w:rsidRPr="004F1896">
        <w:rPr>
          <w:rFonts w:ascii="Times New Roman" w:hAnsi="Times New Roman"/>
          <w:bCs/>
          <w:color w:val="000000"/>
          <w:sz w:val="24"/>
          <w:szCs w:val="24"/>
        </w:rPr>
        <w:t xml:space="preserve"> z dofinansowania na założenie działalności gospodarczej w ramach poddziałania 19.2 „Wsparcie na wdrażanie operacji w ramach strategii rozwoju lokalnego kierowanego przez społeczność” objętego Programem Rozwoju Obszarów </w:t>
      </w:r>
      <w:r w:rsidRPr="004F1896">
        <w:rPr>
          <w:rFonts w:ascii="Times New Roman" w:hAnsi="Times New Roman"/>
          <w:bCs/>
          <w:color w:val="000000"/>
          <w:sz w:val="24"/>
          <w:szCs w:val="24"/>
        </w:rPr>
        <w:lastRenderedPageBreak/>
        <w:t>Wiejskich na lata 2014–2020 i we wrześniu 2018 roku podpisał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4F1896">
        <w:rPr>
          <w:rFonts w:ascii="Times New Roman" w:hAnsi="Times New Roman"/>
          <w:bCs/>
          <w:color w:val="000000"/>
          <w:sz w:val="24"/>
          <w:szCs w:val="24"/>
        </w:rPr>
        <w:t xml:space="preserve"> umowę i za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łożyła </w:t>
      </w:r>
      <w:r w:rsidRPr="004F1896">
        <w:rPr>
          <w:rFonts w:ascii="Times New Roman" w:hAnsi="Times New Roman"/>
          <w:bCs/>
          <w:color w:val="000000"/>
          <w:sz w:val="24"/>
          <w:szCs w:val="24"/>
        </w:rPr>
        <w:t>działalność. </w:t>
      </w:r>
    </w:p>
    <w:p w:rsidR="004F1896" w:rsidRPr="004F1896" w:rsidRDefault="004F1896" w:rsidP="004F1896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F1896" w:rsidRDefault="004F1896" w:rsidP="004F1896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1896">
        <w:rPr>
          <w:rFonts w:ascii="Times New Roman" w:hAnsi="Times New Roman"/>
          <w:bCs/>
          <w:color w:val="000000"/>
          <w:sz w:val="24"/>
          <w:szCs w:val="24"/>
        </w:rPr>
        <w:t>W lipcu 2019 otrzymałam ostatnią transzę. Końcem września 2019 urodziłam dziecko i aktualnie przebywam na urlopie macierzyńskim. Będąc w zaawansowanej ciąży zatrudniłam pracownika, ponieważ będąc na chorobowym i później na urlopie macierzyńskim, zgodnie z umową dofinansowania mam obowiązek płacenia składek. Chciałabym uzyskać odpowiedź na pytanie, czy w obecnej sytuacji mogę zwolnić pracownika nie tracąc dofinansowania? Moja firma to działalność fotograficzna i od połowy marca straciłam wszystkie zlecenia. Dodatkowo część zleceń zarezerwowanych z wyprzedzeniem takich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4F1896">
        <w:rPr>
          <w:rFonts w:ascii="Times New Roman" w:hAnsi="Times New Roman"/>
          <w:bCs/>
          <w:color w:val="000000"/>
          <w:sz w:val="24"/>
          <w:szCs w:val="24"/>
        </w:rPr>
        <w:t xml:space="preserve"> jak reportaże ślubne i inne imprezy okolicznościowe zostały przeniesione na odległe terminy lub odwołane. W tej chwili nie mam przychodu i nie wiadomo kiedy sytuacja wróci do normy. Z tego powodu nie mam środków na wypłatę dla pracownika. Dodam, że oprócz własnej działalności byłam również zatrudniona u innego pracodawcy (miałam wrócić do pracy po macierzyńskim) lecz w marcu rozwiązaliśmy umowę, ponieważ zawiesił on swoją działalność i tym samym straciłam kolejne źródło utrzymania. Proszę o informację czy zostały już przez Urząd opracowane rozwiązania w takiej sytuacji jak moja. Jeżeli nie - proszę o informacje w jaki sposób mogę ubiegać się o zmianę zapisu w umowie o dofinansowanie, dzięki któremu będę mogła zwolnić pracownika bez tracenia dofinansowania.</w:t>
      </w:r>
    </w:p>
    <w:p w:rsidR="00B92D64" w:rsidRDefault="00B92D64" w:rsidP="004F1896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F1896" w:rsidRDefault="004F1896" w:rsidP="004F1896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Odpowiedź:</w:t>
      </w:r>
    </w:p>
    <w:p w:rsidR="004F1896" w:rsidRDefault="004F1896" w:rsidP="004F1896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9B8">
        <w:rPr>
          <w:rFonts w:ascii="Times New Roman" w:hAnsi="Times New Roman"/>
          <w:bCs/>
          <w:color w:val="000000"/>
          <w:sz w:val="24"/>
          <w:szCs w:val="24"/>
        </w:rPr>
        <w:t>W takiej sytuacji beneficjent zgodnie z par. 1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 może wystąpić do Samorządu Województwa Małopolskiego z wnioskiem o  czasowe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lub całkowite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 zwolnienie ze zobowiązania argumentując to aktualną sytuacją, w jakiej znalazła się działalność gospodarcza prowadzona przez beneficjenta.  Wniosek powinien mieć odwołanie do rozporządzeń wykonawczych, które wstrzymują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działalność </w:t>
      </w:r>
      <w:r w:rsidRPr="003649B8">
        <w:rPr>
          <w:rFonts w:ascii="Times New Roman" w:hAnsi="Times New Roman"/>
          <w:bCs/>
          <w:color w:val="000000"/>
          <w:sz w:val="24"/>
          <w:szCs w:val="24"/>
        </w:rPr>
        <w:t>niektórych przedsiębiorstw lub przedstawić dokumenty obrazujące</w:t>
      </w:r>
      <w:r w:rsidR="00BD7832">
        <w:rPr>
          <w:rFonts w:ascii="Times New Roman" w:hAnsi="Times New Roman"/>
          <w:bCs/>
          <w:color w:val="000000"/>
          <w:sz w:val="24"/>
          <w:szCs w:val="24"/>
        </w:rPr>
        <w:t>,</w:t>
      </w:r>
      <w:bookmarkStart w:id="0" w:name="_GoBack"/>
      <w:bookmarkEnd w:id="0"/>
      <w:r w:rsidRPr="003649B8">
        <w:rPr>
          <w:rFonts w:ascii="Times New Roman" w:hAnsi="Times New Roman"/>
          <w:bCs/>
          <w:color w:val="000000"/>
          <w:sz w:val="24"/>
          <w:szCs w:val="24"/>
        </w:rPr>
        <w:t xml:space="preserve"> jak stan epidemii wpłynął negatywnie na sytuację finansową firmy np. obrót ze stycznia lub lutego w porównaniu z obrotem firmy  w miesiącu marcu, kwietniu lub maju.  Każdorazowo wniosek taki będzie podlegał weryfikacji prze Radcę prawnego UMWM.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Oczywiście beneficjent może </w:t>
      </w:r>
      <w:r w:rsidR="00B92D64">
        <w:rPr>
          <w:rFonts w:ascii="Times New Roman" w:hAnsi="Times New Roman"/>
          <w:bCs/>
          <w:color w:val="000000"/>
          <w:sz w:val="24"/>
          <w:szCs w:val="24"/>
        </w:rPr>
        <w:t xml:space="preserve">również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skorzystać z rozwiązań jakie daje mu tarcza antykryzysowa </w:t>
      </w:r>
      <w:r w:rsidR="00B92D64">
        <w:rPr>
          <w:rFonts w:ascii="Times New Roman" w:hAnsi="Times New Roman"/>
          <w:bCs/>
          <w:color w:val="000000"/>
          <w:sz w:val="24"/>
          <w:szCs w:val="24"/>
        </w:rPr>
        <w:t xml:space="preserve">w zakresie utrzymania miejsca pracy. </w:t>
      </w:r>
    </w:p>
    <w:p w:rsidR="0037001A" w:rsidRDefault="0037001A" w:rsidP="00D46316">
      <w:pPr>
        <w:pStyle w:val="Akapitzlist"/>
        <w:rPr>
          <w:bCs/>
        </w:rPr>
      </w:pPr>
    </w:p>
    <w:p w:rsidR="00D46316" w:rsidRDefault="00D46316" w:rsidP="00D46316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Podejście SW do zmiany LSR na euro na obecnym etapie.</w:t>
      </w:r>
    </w:p>
    <w:p w:rsidR="00D46316" w:rsidRPr="0020179D" w:rsidRDefault="00D46316" w:rsidP="00D46316">
      <w:pPr>
        <w:pStyle w:val="Akapitzlist"/>
        <w:rPr>
          <w:rFonts w:ascii="Times New Roman" w:hAnsi="Times New Roman"/>
          <w:bCs/>
          <w:color w:val="000000"/>
          <w:sz w:val="24"/>
          <w:szCs w:val="24"/>
        </w:rPr>
      </w:pPr>
    </w:p>
    <w:p w:rsidR="00553572" w:rsidRDefault="00553572" w:rsidP="0020179D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Odpowiedź:</w:t>
      </w:r>
    </w:p>
    <w:p w:rsidR="0020179D" w:rsidRDefault="0020179D" w:rsidP="0020179D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Decyzja o zmianie LSR na Eu</w:t>
      </w:r>
      <w:r w:rsidR="0055357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 należy tylko i wyłącznie do LGD</w:t>
      </w:r>
      <w:r w:rsidRPr="0055357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Oczywiście są potencjalne plusy takiej decyzji – możliwość wykorzystania dość znacznej różnicy pomiędzy bieżącym kursem (kursem do rozliczeń w PROW – tzn. kurs</w:t>
      </w:r>
      <w:r w:rsidR="00553572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 przedostatniego dnia roboczego miesiąca poprzedzającego) a stałym kursem w umowie ramowej 1 euro=4 zł. Niemniej jednak trzeba mieć świadomość ewentualnych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negatywnych konsekwencji w sytuacji, gdyby ten kurs drastycznie spadł poniżej poziomu 4 zł. Wszystkie zasady były Państwu przedstawione z początkiem roku. Dla przypomnienia – w załączeniu pismo z dnia 20 stycznia br.</w:t>
      </w:r>
    </w:p>
    <w:p w:rsidR="00553572" w:rsidRDefault="00553572" w:rsidP="0020179D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53572" w:rsidRPr="00553572" w:rsidRDefault="00553572" w:rsidP="0055357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Przeliczenie budżetu LSR na EURO w ramach  działania 19.2 - jakie dokumenty są wymagane przez UM przy złożeniu pisma w sprawie przewalutowania budżetu na Euro?</w:t>
      </w:r>
    </w:p>
    <w:p w:rsidR="00553572" w:rsidRPr="00553572" w:rsidRDefault="00553572" w:rsidP="00553572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Odpowiedź:</w:t>
      </w:r>
    </w:p>
    <w:p w:rsidR="00553572" w:rsidRPr="00553572" w:rsidRDefault="00553572" w:rsidP="00553572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Zgodnie z pismem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IZ PROW z dnia 20 stycznia br., a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>by umożliwić wykorzystanie środków wynikających z różnicy kursowej, niezbędne będzie zrealizowanie następujących kroków:</w:t>
      </w:r>
    </w:p>
    <w:p w:rsidR="00553572" w:rsidRPr="00553572" w:rsidRDefault="00553572" w:rsidP="00553572">
      <w:pPr>
        <w:pStyle w:val="Akapitzlist"/>
        <w:ind w:left="1276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1)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ab/>
        <w:t>W harmonogramie planowanych naborów wniosków o udzielenie wsparcia na wdrażanie operacji w ramach strategii rozwoju lokalnego kierowanego przez społeczność (harmonogram) LGD przelicza kwoty z waluty PLN na EUR po kursie 4 PLN/EUR .</w:t>
      </w:r>
    </w:p>
    <w:p w:rsidR="00553572" w:rsidRPr="00553572" w:rsidRDefault="00553572" w:rsidP="00553572">
      <w:pPr>
        <w:pStyle w:val="Akapitzlist"/>
        <w:ind w:left="1560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a)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ab/>
        <w:t>Jeżeli LGD nie planuje przesunięć środków z jakiegokolwiek przedsięwzięcia na inne, to występuje do właściwego samorządu województwa (SW)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>z wnioskiem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>o dokonanie aneksu umowy ramowej ze zaktualizowanym harmonogramem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>z rozpisanymi kwotami w walucie euro – patrz punkt 6. (pomijamy kroki nr 2-5).</w:t>
      </w:r>
    </w:p>
    <w:p w:rsidR="00553572" w:rsidRPr="00553572" w:rsidRDefault="00553572" w:rsidP="00553572">
      <w:pPr>
        <w:pStyle w:val="Akapitzlist"/>
        <w:ind w:left="1560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b)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ab/>
        <w:t>Jeżeli LGD zamierza przesunąć środki pomiędzy przedsięwzięciami – patrz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>pkt 2.</w:t>
      </w:r>
    </w:p>
    <w:p w:rsidR="00553572" w:rsidRPr="00553572" w:rsidRDefault="00553572" w:rsidP="00553572">
      <w:pPr>
        <w:pStyle w:val="Akapitzlist"/>
        <w:ind w:left="1276" w:hanging="55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2)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ab/>
        <w:t>LGD występuje do SW z prośbą o przeliczenie dostępnych środków we wszystkich przedsięwzięciach w całym harmonogramie w walucie EUR.</w:t>
      </w:r>
    </w:p>
    <w:p w:rsidR="00553572" w:rsidRPr="00553572" w:rsidRDefault="00553572" w:rsidP="00553572">
      <w:pPr>
        <w:pStyle w:val="Akapitzlist"/>
        <w:ind w:left="1276" w:hanging="55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3)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ab/>
        <w:t>SW dokonuje przeliczeń wykorzystując zaktualizowaną1 instrukcję dotyczącą ustalania kwot dla poddziałania 19.2 po kursie wymiany EUR do PLN, publikowanym przez Europejski Bank Centralny z przedostatniego dnia pracy Komisji Europejskiej w miesiącu poprzedzającym miesiąc dokonania obliczeń (kurs bieżący) i przekazuje tę informację do LGD.</w:t>
      </w:r>
    </w:p>
    <w:p w:rsidR="00553572" w:rsidRPr="00553572" w:rsidRDefault="00553572" w:rsidP="00553572">
      <w:pPr>
        <w:pStyle w:val="Akapitzlist"/>
        <w:ind w:left="1276" w:hanging="55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4)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ab/>
        <w:t>LGD po otrzymaniu informacji na temat dostępnych środków w poszczególnych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>przedsięwzięciach w walucie EUR projektuje w harmonogramie przesunięcia poszczególnych kwot pomiędzy przedsięwzięciami (w walucie EUR), zgodnie z obowiązującymi zasadami (w szczególności pamiętając o postanowieniach § 10 ust. 3 pkt 4 i 6 umowy ramowej).</w:t>
      </w:r>
    </w:p>
    <w:p w:rsidR="00553572" w:rsidRPr="00553572" w:rsidRDefault="00553572" w:rsidP="00553572">
      <w:pPr>
        <w:pStyle w:val="Akapitzlist"/>
        <w:ind w:left="1276" w:hanging="55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5)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ab/>
        <w:t xml:space="preserve"> LGD występuje do SW z wnioskiem o dokonanie aneksu do umowy ramowej uwzględniający projekt zaktualizowanego harmonogramu przeliczonego</w:t>
      </w:r>
      <w:r w:rsidR="0037001A">
        <w:rPr>
          <w:rFonts w:ascii="Times New Roman" w:hAnsi="Times New Roman"/>
          <w:bCs/>
          <w:color w:val="000000"/>
          <w:sz w:val="24"/>
          <w:szCs w:val="24"/>
        </w:rPr>
        <w:br/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>w walucie EUR i uwzględniającym przesunięcia środków pomiędzy przedsięwzięciami.</w:t>
      </w:r>
    </w:p>
    <w:p w:rsidR="00553572" w:rsidRPr="00553572" w:rsidRDefault="00553572" w:rsidP="00553572">
      <w:pPr>
        <w:pStyle w:val="Akapitzlist"/>
        <w:ind w:left="1276" w:hanging="55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6)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ab/>
        <w:t>Po zawarciu aneksu do umowy ramowej LGD może rozpocząć proces ogłoszenia naboru wniosków zgodnie z wytycznymi nr 6/4/2017, zaczynając od wystąpienia do SW o ustalenie możliwej do ujęcia w ogłoszeniu naboru wniosków kwoty</w:t>
      </w:r>
      <w:r w:rsidR="0037001A">
        <w:rPr>
          <w:rFonts w:ascii="Times New Roman" w:hAnsi="Times New Roman"/>
          <w:bCs/>
          <w:color w:val="000000"/>
          <w:sz w:val="24"/>
          <w:szCs w:val="24"/>
        </w:rPr>
        <w:br/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>w ramach danego przedsięwzięcia.</w:t>
      </w:r>
    </w:p>
    <w:p w:rsidR="00553572" w:rsidRPr="00553572" w:rsidRDefault="00553572" w:rsidP="00553572">
      <w:pPr>
        <w:pStyle w:val="Akapitzlist"/>
        <w:ind w:left="1276" w:hanging="55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7)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ab/>
        <w:t xml:space="preserve">LGD otrzymując od SW informację zwrotną z dostępną w ramach przedsięwzięcia kwotą w walucie euro możliwą do ogłoszenia, następnie ogłasza 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lastRenderedPageBreak/>
        <w:t>nabór podając limit w walucie euro oraz indykatywną kwotę w PLN wyliczoną po kursie 4 PLN/EUR.</w:t>
      </w:r>
    </w:p>
    <w:p w:rsidR="00553572" w:rsidRPr="00553572" w:rsidRDefault="00553572" w:rsidP="00553572">
      <w:pPr>
        <w:pStyle w:val="Akapitzlist"/>
        <w:ind w:left="1276" w:hanging="55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8)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ab/>
        <w:t>W ciągu 60 dni od dnia następującego po ostatnim dniu terminu składania wniosków o udzielenie wsparcia LGD przekazuje do SW wnioski o udzielenie wsparcia dotyczące wybranych operacji z wyznaczonym limitem danego naboru w walucie PLN przeliczonej po kursie 4 PLN/EUR.</w:t>
      </w:r>
    </w:p>
    <w:p w:rsidR="00553572" w:rsidRPr="00553572" w:rsidRDefault="00553572" w:rsidP="00553572">
      <w:pPr>
        <w:pStyle w:val="Akapitzlist"/>
        <w:ind w:left="1276" w:hanging="55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9)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ab/>
        <w:t>SW przyznaje pomoc w kolejności zgodnej z listą do limitu środków określonego w ogłoszeniu w walucie EUR, przeliczając tę kwotę po kursie bieżącym.</w:t>
      </w:r>
    </w:p>
    <w:p w:rsidR="00553572" w:rsidRPr="00553572" w:rsidRDefault="00553572" w:rsidP="00553572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53572" w:rsidRPr="00553572" w:rsidRDefault="00553572" w:rsidP="00553572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ab/>
        <w:t>Przeliczenie budżetu LSR na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EURO w ramach  działania 19.2 </w:t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>- w którym momencie LGD powinna wystąpić do UM z wnioskiem o przewalutowanie LSR chcąc wykorzystać dodatkowe środki z przewalutowania oraz niewykorzystane kwoty</w:t>
      </w:r>
      <w:r w:rsidR="0037001A">
        <w:rPr>
          <w:rFonts w:ascii="Times New Roman" w:hAnsi="Times New Roman"/>
          <w:bCs/>
          <w:color w:val="000000"/>
          <w:sz w:val="24"/>
          <w:szCs w:val="24"/>
        </w:rPr>
        <w:br/>
      </w:r>
      <w:r w:rsidRPr="00553572">
        <w:rPr>
          <w:rFonts w:ascii="Times New Roman" w:hAnsi="Times New Roman"/>
          <w:bCs/>
          <w:color w:val="000000"/>
          <w:sz w:val="24"/>
          <w:szCs w:val="24"/>
        </w:rPr>
        <w:t>z poszczególnych przedsięwzięć w ramach jednego przedsięwzięcia np. wsparcie na rozpoczęcie działalności gospodarczej?</w:t>
      </w:r>
    </w:p>
    <w:p w:rsidR="0037001A" w:rsidRDefault="0037001A" w:rsidP="00553572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53572" w:rsidRPr="00553572" w:rsidRDefault="0037001A" w:rsidP="00553572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Odpowiedź:</w:t>
      </w:r>
    </w:p>
    <w:p w:rsidR="00553572" w:rsidRPr="00553572" w:rsidRDefault="00807810" w:rsidP="005C571D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001A">
        <w:rPr>
          <w:rFonts w:ascii="Times New Roman" w:hAnsi="Times New Roman"/>
          <w:bCs/>
          <w:color w:val="000000"/>
          <w:sz w:val="24"/>
          <w:szCs w:val="24"/>
        </w:rPr>
        <w:t>LGD chcąc skorzystać z możliwości „wykorzystania różnicy kursowej”</w:t>
      </w:r>
      <w:r w:rsidR="006A2AAD" w:rsidRPr="0037001A">
        <w:rPr>
          <w:rFonts w:ascii="Times New Roman" w:hAnsi="Times New Roman"/>
          <w:bCs/>
          <w:color w:val="000000"/>
          <w:sz w:val="24"/>
          <w:szCs w:val="24"/>
        </w:rPr>
        <w:t xml:space="preserve"> powinna</w:t>
      </w:r>
      <w:r w:rsidRPr="0037001A">
        <w:rPr>
          <w:rFonts w:ascii="Times New Roman" w:hAnsi="Times New Roman"/>
          <w:bCs/>
          <w:color w:val="000000"/>
          <w:sz w:val="24"/>
          <w:szCs w:val="24"/>
        </w:rPr>
        <w:t xml:space="preserve"> postępować zgodnie z informacją zawartą w piśmie MRiRW z dnia 20 stycznia 2020 r. (znak sprawy ROW.wrt.510.174.2019)</w:t>
      </w:r>
      <w:r w:rsidR="005C571D" w:rsidRPr="0037001A">
        <w:rPr>
          <w:rFonts w:ascii="Times New Roman" w:hAnsi="Times New Roman"/>
          <w:bCs/>
          <w:color w:val="000000"/>
          <w:sz w:val="24"/>
          <w:szCs w:val="24"/>
        </w:rPr>
        <w:t xml:space="preserve">. W sytuacji gdy LGD planuje dokonać przesunięcia oszczędności pomiędzy przedsięwzięciami powinna wystąpić do opiekuna </w:t>
      </w:r>
      <w:r w:rsidR="006A2AAD" w:rsidRPr="0037001A">
        <w:rPr>
          <w:rFonts w:ascii="Times New Roman" w:hAnsi="Times New Roman"/>
          <w:bCs/>
          <w:color w:val="000000"/>
          <w:sz w:val="24"/>
          <w:szCs w:val="24"/>
        </w:rPr>
        <w:t xml:space="preserve">z prośbą </w:t>
      </w:r>
      <w:r w:rsidR="005C571D" w:rsidRPr="0037001A">
        <w:rPr>
          <w:rFonts w:ascii="Times New Roman" w:hAnsi="Times New Roman"/>
          <w:bCs/>
          <w:color w:val="000000"/>
          <w:sz w:val="24"/>
          <w:szCs w:val="24"/>
        </w:rPr>
        <w:t>o informację o dostępnych środkach w walucie EUR</w:t>
      </w:r>
      <w:r w:rsidR="00205DA5" w:rsidRPr="0037001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C571D" w:rsidRPr="003700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42C33" w:rsidRPr="0037001A">
        <w:rPr>
          <w:rFonts w:ascii="Times New Roman" w:hAnsi="Times New Roman"/>
          <w:bCs/>
          <w:color w:val="000000"/>
          <w:sz w:val="24"/>
          <w:szCs w:val="24"/>
        </w:rPr>
        <w:t xml:space="preserve">Proszę mieć na uwadze, iż ze względu na zakres pracy związanej z przeliczeniem środków w ramach poszczególnych przedsięwzięć (wskaźników) proszę o </w:t>
      </w:r>
      <w:r w:rsidR="006A2AAD" w:rsidRPr="0037001A">
        <w:rPr>
          <w:rFonts w:ascii="Times New Roman" w:hAnsi="Times New Roman"/>
          <w:bCs/>
          <w:color w:val="000000"/>
          <w:sz w:val="24"/>
          <w:szCs w:val="24"/>
        </w:rPr>
        <w:t>wstępną</w:t>
      </w:r>
      <w:r w:rsidR="00D42C33" w:rsidRPr="0037001A">
        <w:rPr>
          <w:rFonts w:ascii="Times New Roman" w:hAnsi="Times New Roman"/>
          <w:bCs/>
          <w:color w:val="000000"/>
          <w:sz w:val="24"/>
          <w:szCs w:val="24"/>
        </w:rPr>
        <w:t xml:space="preserve"> analizę poziomu dostępnych środków </w:t>
      </w:r>
      <w:r w:rsidR="006A2AAD" w:rsidRPr="0037001A">
        <w:rPr>
          <w:rFonts w:ascii="Times New Roman" w:hAnsi="Times New Roman"/>
          <w:bCs/>
          <w:color w:val="000000"/>
          <w:sz w:val="24"/>
          <w:szCs w:val="24"/>
        </w:rPr>
        <w:t>przez</w:t>
      </w:r>
      <w:r w:rsidR="00D42C33" w:rsidRPr="0037001A">
        <w:rPr>
          <w:rFonts w:ascii="Times New Roman" w:hAnsi="Times New Roman"/>
          <w:bCs/>
          <w:color w:val="000000"/>
          <w:sz w:val="24"/>
          <w:szCs w:val="24"/>
        </w:rPr>
        <w:t xml:space="preserve"> LGD. Należy zweryfikować czy występują oszczędności </w:t>
      </w:r>
      <w:r w:rsidR="006A2AAD" w:rsidRPr="0037001A">
        <w:rPr>
          <w:rFonts w:ascii="Times New Roman" w:hAnsi="Times New Roman"/>
          <w:bCs/>
          <w:color w:val="000000"/>
          <w:sz w:val="24"/>
          <w:szCs w:val="24"/>
        </w:rPr>
        <w:br/>
      </w:r>
      <w:r w:rsidR="00D42C33" w:rsidRPr="0037001A">
        <w:rPr>
          <w:rFonts w:ascii="Times New Roman" w:hAnsi="Times New Roman"/>
          <w:bCs/>
          <w:color w:val="000000"/>
          <w:sz w:val="24"/>
          <w:szCs w:val="24"/>
        </w:rPr>
        <w:t>i czy wstępnie pozwolą one na realizacje kolejnych zadań</w:t>
      </w:r>
      <w:r w:rsidR="006A2AAD" w:rsidRPr="0037001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42C33" w:rsidRPr="0037001A">
        <w:rPr>
          <w:rFonts w:ascii="Times New Roman" w:hAnsi="Times New Roman"/>
          <w:bCs/>
          <w:color w:val="000000"/>
          <w:sz w:val="24"/>
          <w:szCs w:val="24"/>
        </w:rPr>
        <w:t xml:space="preserve"> biorąc pod uwagę wysokość dofinansowania w ramach przedsięwzięć – wskaźników</w:t>
      </w:r>
      <w:r w:rsidR="006A2AAD" w:rsidRPr="0037001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42C33" w:rsidRPr="0037001A">
        <w:rPr>
          <w:rFonts w:ascii="Times New Roman" w:hAnsi="Times New Roman"/>
          <w:bCs/>
          <w:color w:val="000000"/>
          <w:sz w:val="24"/>
          <w:szCs w:val="24"/>
        </w:rPr>
        <w:t xml:space="preserve"> w ramach których planuje się ulokować wolne środki.</w:t>
      </w:r>
      <w:r w:rsidR="00B46E5E" w:rsidRPr="0037001A">
        <w:rPr>
          <w:rFonts w:ascii="Times New Roman" w:hAnsi="Times New Roman"/>
          <w:bCs/>
          <w:color w:val="000000"/>
          <w:sz w:val="24"/>
          <w:szCs w:val="24"/>
        </w:rPr>
        <w:t xml:space="preserve"> Zwraca się uwagę, iż przenoszenie wolnych środków</w:t>
      </w:r>
      <w:r w:rsidR="00D42C33" w:rsidRPr="003700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6E5E" w:rsidRPr="0037001A">
        <w:rPr>
          <w:rFonts w:ascii="Times New Roman" w:hAnsi="Times New Roman"/>
          <w:bCs/>
          <w:color w:val="000000"/>
          <w:sz w:val="24"/>
          <w:szCs w:val="24"/>
        </w:rPr>
        <w:t>powinno dotyczyć działań, w ramach których wszystkie zadania (wskaźniki) zostały już zrealizowane – wypłacone. Powyższe daje gwarancje, że uwolnione środki mogą być przesunięte bez ryzyka związanego z kursem dla zadań, które nie zostały jeszcze rozliczone w ramach danego przedsięwzięcia (wskaźnika).</w:t>
      </w:r>
      <w:r w:rsidR="00B46E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53572" w:rsidRDefault="00553572" w:rsidP="00553572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7001A" w:rsidRPr="00553572" w:rsidRDefault="0037001A" w:rsidP="00553572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53572" w:rsidRPr="00553572" w:rsidRDefault="00553572" w:rsidP="0055357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572">
        <w:rPr>
          <w:rFonts w:ascii="Times New Roman" w:hAnsi="Times New Roman"/>
          <w:bCs/>
          <w:color w:val="000000"/>
          <w:sz w:val="24"/>
          <w:szCs w:val="24"/>
        </w:rPr>
        <w:t>Czy przewalutowanie na Euro dotyczy także kosztów bieżących i aktywizacji w ramach działania 19.4?</w:t>
      </w:r>
    </w:p>
    <w:p w:rsidR="00553572" w:rsidRPr="00553572" w:rsidRDefault="00553572" w:rsidP="00553572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Odpowiedź:</w:t>
      </w:r>
    </w:p>
    <w:p w:rsidR="00553572" w:rsidRPr="00553572" w:rsidRDefault="00553572" w:rsidP="00553572">
      <w:pPr>
        <w:pStyle w:val="Akapitzli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5357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Nie, przewalutowanie dotyczy tylko i wyłącznie dz. 19.2.- - pismo z dnia 20 stycznia br.</w:t>
      </w:r>
      <w:r w:rsidR="00843D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43D2F" w:rsidRPr="0037001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oraz pismo MRiRW (WPR.wao.510.31.2020) z dnia 29 kwietnia 2020 r.</w:t>
      </w:r>
    </w:p>
    <w:p w:rsidR="00553572" w:rsidRPr="0020179D" w:rsidRDefault="00553572" w:rsidP="0020179D">
      <w:pPr>
        <w:pStyle w:val="Akapitzli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46316" w:rsidRDefault="00D46316" w:rsidP="00D46316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Proszę o potwierdzenie czy tok rozumowania jest poprawny:</w:t>
      </w:r>
    </w:p>
    <w:p w:rsidR="00D46316" w:rsidRDefault="0020179D" w:rsidP="0020179D">
      <w:pPr>
        <w:pStyle w:val="Default"/>
        <w:ind w:left="708"/>
        <w:jc w:val="both"/>
        <w:rPr>
          <w:bCs/>
        </w:rPr>
      </w:pPr>
      <w:r>
        <w:rPr>
          <w:bCs/>
        </w:rPr>
        <w:t>W</w:t>
      </w:r>
      <w:r w:rsidR="00D46316">
        <w:rPr>
          <w:bCs/>
        </w:rPr>
        <w:t xml:space="preserve"> harmonogra</w:t>
      </w:r>
      <w:r>
        <w:rPr>
          <w:bCs/>
        </w:rPr>
        <w:t>mie realizacji planu komunikacji</w:t>
      </w:r>
      <w:r w:rsidR="00D46316">
        <w:rPr>
          <w:bCs/>
        </w:rPr>
        <w:t xml:space="preserve"> LGD wskazała następujące działanie komunikacyjne: Spotkania informacyjne w sołectwach (komunikacja bezpośrednia</w:t>
      </w:r>
      <w:r>
        <w:rPr>
          <w:bCs/>
        </w:rPr>
        <w:br/>
      </w:r>
      <w:r w:rsidR="00D46316">
        <w:rPr>
          <w:bCs/>
        </w:rPr>
        <w:t xml:space="preserve"> w celu informowania o działaniach podejmowanych i planowanych do podjęcia przez </w:t>
      </w:r>
      <w:r w:rsidR="00D46316">
        <w:rPr>
          <w:bCs/>
        </w:rPr>
        <w:lastRenderedPageBreak/>
        <w:t>LGD). Nie chcemy przekładać wszystkich działań na kolejne lata</w:t>
      </w:r>
      <w:r>
        <w:rPr>
          <w:bCs/>
        </w:rPr>
        <w:t>,</w:t>
      </w:r>
      <w:r w:rsidR="00D46316">
        <w:rPr>
          <w:bCs/>
        </w:rPr>
        <w:t xml:space="preserve"> a realizować co się da tylko w zmienionej formie. </w:t>
      </w:r>
    </w:p>
    <w:p w:rsidR="00D46316" w:rsidRDefault="00D46316" w:rsidP="0020179D">
      <w:pPr>
        <w:pStyle w:val="Default"/>
        <w:ind w:left="708"/>
        <w:jc w:val="both"/>
        <w:rPr>
          <w:bCs/>
        </w:rPr>
      </w:pPr>
      <w:r>
        <w:rPr>
          <w:bCs/>
        </w:rPr>
        <w:t xml:space="preserve">W związku z powyższym czy akceptowalny dla Państwa będzie np. wideo czat na </w:t>
      </w:r>
      <w:proofErr w:type="spellStart"/>
      <w:r>
        <w:rPr>
          <w:bCs/>
        </w:rPr>
        <w:t>facebooku</w:t>
      </w:r>
      <w:proofErr w:type="spellEnd"/>
      <w:r>
        <w:rPr>
          <w:bCs/>
        </w:rPr>
        <w:t>?</w:t>
      </w:r>
    </w:p>
    <w:p w:rsidR="0020179D" w:rsidRDefault="0020179D" w:rsidP="0020179D">
      <w:pPr>
        <w:pStyle w:val="Default"/>
        <w:ind w:left="708"/>
        <w:jc w:val="both"/>
        <w:rPr>
          <w:bCs/>
        </w:rPr>
      </w:pPr>
    </w:p>
    <w:p w:rsidR="00553572" w:rsidRPr="00553572" w:rsidRDefault="0020179D" w:rsidP="0020179D">
      <w:pPr>
        <w:pStyle w:val="Default"/>
        <w:ind w:left="708"/>
        <w:jc w:val="both"/>
        <w:rPr>
          <w:bCs/>
        </w:rPr>
      </w:pPr>
      <w:r w:rsidRPr="00553572">
        <w:rPr>
          <w:bCs/>
        </w:rPr>
        <w:t xml:space="preserve">Odpowiedź: </w:t>
      </w:r>
    </w:p>
    <w:p w:rsidR="0020179D" w:rsidRPr="0020179D" w:rsidRDefault="0020179D" w:rsidP="0020179D">
      <w:pPr>
        <w:pStyle w:val="Default"/>
        <w:ind w:left="708"/>
        <w:jc w:val="both"/>
        <w:rPr>
          <w:bCs/>
          <w:u w:val="single"/>
        </w:rPr>
      </w:pPr>
      <w:r w:rsidRPr="0020179D">
        <w:rPr>
          <w:bCs/>
          <w:u w:val="single"/>
        </w:rPr>
        <w:t>Tak będzie akceptowalny, lecz wymaga zmiany zapisów w harmonogramie planu komunikacji.</w:t>
      </w:r>
      <w:r w:rsidR="00347741">
        <w:rPr>
          <w:bCs/>
          <w:u w:val="single"/>
        </w:rPr>
        <w:t xml:space="preserve"> </w:t>
      </w:r>
      <w:r w:rsidR="00347741" w:rsidRPr="0037001A">
        <w:rPr>
          <w:bCs/>
          <w:u w:val="single"/>
        </w:rPr>
        <w:t>Należy mieć na uwadze, iż Harmonogram planu komunikacji powinien być zgodny z Planem komunikacji zawartym w LSR. W przypadku braku możliwości realizacji zadania zgodnie z Planem komunikacji należy dokonać zmiany Planu komunikacji zgodnie z zapisami umowy ramowej.</w:t>
      </w:r>
      <w:r w:rsidR="00347741">
        <w:rPr>
          <w:bCs/>
          <w:u w:val="single"/>
        </w:rPr>
        <w:t xml:space="preserve"> </w:t>
      </w:r>
    </w:p>
    <w:p w:rsidR="001C664B" w:rsidRDefault="001C664B" w:rsidP="001C664B">
      <w:pPr>
        <w:pStyle w:val="Default"/>
        <w:jc w:val="both"/>
        <w:rPr>
          <w:bCs/>
        </w:rPr>
      </w:pPr>
    </w:p>
    <w:p w:rsidR="001C664B" w:rsidRDefault="001C664B" w:rsidP="002378F8">
      <w:pPr>
        <w:pStyle w:val="Default"/>
        <w:numPr>
          <w:ilvl w:val="0"/>
          <w:numId w:val="2"/>
        </w:numPr>
        <w:jc w:val="both"/>
        <w:rPr>
          <w:bCs/>
        </w:rPr>
      </w:pPr>
      <w:r w:rsidRPr="001C664B">
        <w:rPr>
          <w:bCs/>
        </w:rPr>
        <w:t>Czy w ramach projektu współpracy przy robotach budowalnych dopuszczalne jest zastosowania trybu „zaprojektuj i wybuduj”?</w:t>
      </w:r>
    </w:p>
    <w:p w:rsidR="001C664B" w:rsidRDefault="001C664B" w:rsidP="001C664B">
      <w:pPr>
        <w:pStyle w:val="Default"/>
        <w:ind w:left="720"/>
        <w:jc w:val="both"/>
        <w:rPr>
          <w:bCs/>
        </w:rPr>
      </w:pPr>
    </w:p>
    <w:p w:rsidR="00553572" w:rsidRDefault="00553572" w:rsidP="001C664B">
      <w:pPr>
        <w:pStyle w:val="Default"/>
        <w:ind w:left="720"/>
        <w:jc w:val="both"/>
        <w:rPr>
          <w:bCs/>
        </w:rPr>
      </w:pPr>
      <w:r>
        <w:rPr>
          <w:bCs/>
        </w:rPr>
        <w:t>Odpowiedź:</w:t>
      </w:r>
    </w:p>
    <w:p w:rsidR="001C664B" w:rsidRDefault="001C664B" w:rsidP="001C664B">
      <w:pPr>
        <w:pStyle w:val="Default"/>
        <w:ind w:left="720"/>
        <w:jc w:val="both"/>
        <w:rPr>
          <w:bCs/>
        </w:rPr>
      </w:pPr>
      <w:r>
        <w:rPr>
          <w:bCs/>
        </w:rPr>
        <w:t>Przedstawiliśmy powyższe pytanie IZ PROW jeszcze w marcu. Z informacji uzyskanych z IZ PROW prośba o ustosunkowanie się została przesłana do ARiMR</w:t>
      </w:r>
      <w:r>
        <w:rPr>
          <w:bCs/>
        </w:rPr>
        <w:br/>
        <w:t>w kwietniu. Zgodnie z informacjami uzyskanymi z ARiMR do końca bieżącego tygodnia powinniśmy otrzymać odpowiedź. Niestety do chwili obecnej jeszcze jej nie otrzymaliśmy. Jak tylko otrzymamy informacje – przekażemy je Państwu.</w:t>
      </w:r>
    </w:p>
    <w:p w:rsidR="001C664B" w:rsidRDefault="001C664B" w:rsidP="001C664B">
      <w:pPr>
        <w:pStyle w:val="Default"/>
        <w:ind w:left="720"/>
        <w:jc w:val="both"/>
        <w:rPr>
          <w:bCs/>
        </w:rPr>
      </w:pPr>
      <w:r>
        <w:rPr>
          <w:bCs/>
        </w:rPr>
        <w:t xml:space="preserve">To samo dotyczy sytuacji z ewentualnym projektem współpracy dot. wyznaczania </w:t>
      </w:r>
      <w:r>
        <w:rPr>
          <w:bCs/>
        </w:rPr>
        <w:br/>
        <w:t xml:space="preserve">i znakowania szlaków rowerowych. </w:t>
      </w:r>
    </w:p>
    <w:p w:rsidR="001C664B" w:rsidRDefault="001C664B" w:rsidP="001C664B">
      <w:pPr>
        <w:pStyle w:val="Default"/>
        <w:ind w:left="720"/>
        <w:jc w:val="both"/>
        <w:rPr>
          <w:bCs/>
        </w:rPr>
      </w:pPr>
    </w:p>
    <w:p w:rsidR="001C664B" w:rsidRPr="001C664B" w:rsidRDefault="001C664B" w:rsidP="004D4FF3">
      <w:pPr>
        <w:pStyle w:val="Default"/>
        <w:numPr>
          <w:ilvl w:val="0"/>
          <w:numId w:val="2"/>
        </w:numPr>
        <w:jc w:val="both"/>
        <w:rPr>
          <w:bCs/>
        </w:rPr>
      </w:pPr>
      <w:r w:rsidRPr="001C664B">
        <w:rPr>
          <w:bCs/>
        </w:rPr>
        <w:t xml:space="preserve">Czy LGD będące stowarzyszeniem może korzystać ze zwolnień w opłatach ZUS za pracowników w ramach tarczy antykryzysowej? </w:t>
      </w:r>
    </w:p>
    <w:p w:rsidR="0020179D" w:rsidRDefault="0020179D" w:rsidP="00772876">
      <w:pPr>
        <w:pStyle w:val="Default"/>
        <w:ind w:left="708"/>
        <w:jc w:val="both"/>
        <w:rPr>
          <w:bCs/>
        </w:rPr>
      </w:pPr>
    </w:p>
    <w:p w:rsidR="00553572" w:rsidRDefault="00553572" w:rsidP="00772876">
      <w:pPr>
        <w:pStyle w:val="Default"/>
        <w:ind w:left="708"/>
        <w:jc w:val="both"/>
        <w:rPr>
          <w:bCs/>
        </w:rPr>
      </w:pPr>
      <w:r>
        <w:rPr>
          <w:bCs/>
        </w:rPr>
        <w:t>Odpowiedź:</w:t>
      </w:r>
    </w:p>
    <w:p w:rsidR="00772876" w:rsidRPr="00553572" w:rsidRDefault="00772876" w:rsidP="00772876">
      <w:pPr>
        <w:pStyle w:val="Default"/>
        <w:ind w:left="708"/>
        <w:jc w:val="both"/>
        <w:rPr>
          <w:b/>
          <w:bCs/>
          <w:u w:val="single"/>
        </w:rPr>
      </w:pPr>
      <w:r w:rsidRPr="00553572">
        <w:rPr>
          <w:b/>
          <w:bCs/>
          <w:u w:val="single"/>
        </w:rPr>
        <w:t>Z pisma IZ PROW z dnia 5 maja br. wynika, że tak – pkt 9.</w:t>
      </w:r>
    </w:p>
    <w:p w:rsidR="00772876" w:rsidRDefault="00772876" w:rsidP="00772876">
      <w:pPr>
        <w:pStyle w:val="Default"/>
        <w:ind w:left="708"/>
        <w:jc w:val="both"/>
        <w:rPr>
          <w:bCs/>
        </w:rPr>
      </w:pPr>
    </w:p>
    <w:p w:rsidR="0037001A" w:rsidRDefault="0037001A" w:rsidP="00772876">
      <w:pPr>
        <w:pStyle w:val="Default"/>
        <w:ind w:left="708"/>
        <w:jc w:val="both"/>
        <w:rPr>
          <w:bCs/>
        </w:rPr>
      </w:pPr>
    </w:p>
    <w:p w:rsidR="00772876" w:rsidRDefault="00772876" w:rsidP="00772876">
      <w:pPr>
        <w:pStyle w:val="Default"/>
        <w:numPr>
          <w:ilvl w:val="0"/>
          <w:numId w:val="2"/>
        </w:numPr>
        <w:jc w:val="both"/>
        <w:rPr>
          <w:bCs/>
        </w:rPr>
      </w:pPr>
      <w:r w:rsidRPr="00772876">
        <w:rPr>
          <w:bCs/>
        </w:rPr>
        <w:t>W związku z licznymi pytaniami beneficjentów o termin zawarcia umów o przyznanie pomocy, dotycząca wniosków które zostały pozytywnie rozpatrzone w okresie</w:t>
      </w:r>
      <w:r w:rsidR="0037001A">
        <w:rPr>
          <w:bCs/>
        </w:rPr>
        <w:br/>
      </w:r>
      <w:r w:rsidRPr="00772876">
        <w:rPr>
          <w:bCs/>
        </w:rPr>
        <w:t>03-04.2020, zwracamy się z prośbą o informację w jakim terminie możliwe jest zawarcie umów które obecnie mają sta</w:t>
      </w:r>
      <w:r w:rsidR="00553572">
        <w:rPr>
          <w:bCs/>
        </w:rPr>
        <w:t>tus „Umowa w przygotowaniu” ?</w:t>
      </w:r>
    </w:p>
    <w:p w:rsidR="00553572" w:rsidRDefault="00553572" w:rsidP="00553572">
      <w:pPr>
        <w:pStyle w:val="Default"/>
        <w:ind w:left="708"/>
        <w:jc w:val="both"/>
        <w:rPr>
          <w:bCs/>
        </w:rPr>
      </w:pPr>
    </w:p>
    <w:p w:rsidR="00553572" w:rsidRDefault="00553572" w:rsidP="00553572">
      <w:pPr>
        <w:pStyle w:val="Default"/>
        <w:ind w:left="708"/>
        <w:jc w:val="both"/>
        <w:rPr>
          <w:bCs/>
        </w:rPr>
      </w:pPr>
      <w:r>
        <w:rPr>
          <w:bCs/>
        </w:rPr>
        <w:t>Odpowiedź:</w:t>
      </w:r>
    </w:p>
    <w:p w:rsidR="00553572" w:rsidRDefault="00553572" w:rsidP="00553572">
      <w:pPr>
        <w:pStyle w:val="Default"/>
        <w:ind w:left="708"/>
        <w:jc w:val="both"/>
        <w:rPr>
          <w:bCs/>
        </w:rPr>
      </w:pPr>
      <w:r>
        <w:rPr>
          <w:bCs/>
        </w:rPr>
        <w:t>Raz jeszcze wyjaśniamy, iż wzory umów, którymi dysponujemy są niezgodne</w:t>
      </w:r>
      <w:r>
        <w:rPr>
          <w:bCs/>
        </w:rPr>
        <w:br/>
        <w:t>z obowiązującymi przepisami. IZ PROW w piśmie z dnia 23 kwietnia br. potwierdziła, iż „…</w:t>
      </w:r>
      <w:r w:rsidRPr="00553572">
        <w:rPr>
          <w:bCs/>
        </w:rPr>
        <w:t xml:space="preserve">wdrożenie tej zmiany ustawy </w:t>
      </w:r>
      <w:r w:rsidRPr="00553572">
        <w:rPr>
          <w:b/>
          <w:bCs/>
          <w:u w:val="single"/>
        </w:rPr>
        <w:t>wymaga od ARiMR przygotowania</w:t>
      </w:r>
      <w:r w:rsidRPr="00553572">
        <w:rPr>
          <w:bCs/>
        </w:rPr>
        <w:t xml:space="preserve"> </w:t>
      </w:r>
      <w:r w:rsidRPr="00553572">
        <w:rPr>
          <w:b/>
          <w:bCs/>
          <w:u w:val="single"/>
        </w:rPr>
        <w:t>(we współpracy</w:t>
      </w:r>
      <w:r>
        <w:rPr>
          <w:b/>
          <w:bCs/>
          <w:u w:val="single"/>
        </w:rPr>
        <w:t xml:space="preserve"> </w:t>
      </w:r>
      <w:r w:rsidRPr="00553572">
        <w:rPr>
          <w:b/>
          <w:bCs/>
          <w:u w:val="single"/>
        </w:rPr>
        <w:t>z podmiotami wdrażającymi) nowych formularzy umów o przyznaniu pomocy lub przygotowania</w:t>
      </w:r>
      <w:r>
        <w:rPr>
          <w:b/>
          <w:bCs/>
          <w:u w:val="single"/>
        </w:rPr>
        <w:t xml:space="preserve"> </w:t>
      </w:r>
      <w:r w:rsidRPr="00553572">
        <w:rPr>
          <w:b/>
          <w:bCs/>
          <w:u w:val="single"/>
        </w:rPr>
        <w:t>uniwersalnego formularza zmiany umowy</w:t>
      </w:r>
      <w:r>
        <w:rPr>
          <w:b/>
          <w:bCs/>
          <w:u w:val="single"/>
        </w:rPr>
        <w:br/>
      </w:r>
      <w:r w:rsidRPr="00553572">
        <w:rPr>
          <w:b/>
          <w:bCs/>
          <w:u w:val="single"/>
        </w:rPr>
        <w:t>o przyznaniu pomocy</w:t>
      </w:r>
      <w:r>
        <w:rPr>
          <w:bCs/>
        </w:rPr>
        <w:t>…”. Niestety do chwili obecnej nie otrzymaliśmy ani nowych wzorów umów, ani wzoru uniwersalnego aneksu. Wg informacji uzyskanych z IZ PROW powinny być gotowe za około tydzień. Jak tylko je otrzymamy, zostaną państwo i beneficjenci o tym powiadomieni.</w:t>
      </w:r>
    </w:p>
    <w:p w:rsidR="0020179D" w:rsidRDefault="0020179D" w:rsidP="00D46316">
      <w:pPr>
        <w:pStyle w:val="Default"/>
        <w:jc w:val="both"/>
        <w:rPr>
          <w:bCs/>
        </w:rPr>
      </w:pPr>
    </w:p>
    <w:p w:rsidR="0020179D" w:rsidRDefault="0020179D" w:rsidP="00D46316">
      <w:pPr>
        <w:pStyle w:val="Default"/>
        <w:jc w:val="both"/>
        <w:rPr>
          <w:bCs/>
        </w:rPr>
      </w:pPr>
    </w:p>
    <w:p w:rsidR="00D46316" w:rsidRDefault="00D46316" w:rsidP="00D46316">
      <w:pPr>
        <w:pStyle w:val="Default"/>
      </w:pPr>
    </w:p>
    <w:p w:rsidR="00563D9B" w:rsidRPr="00B73B2C" w:rsidRDefault="00563D9B" w:rsidP="00B73B2C"/>
    <w:sectPr w:rsidR="00563D9B" w:rsidRPr="00B7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15DB"/>
    <w:multiLevelType w:val="hybridMultilevel"/>
    <w:tmpl w:val="71541B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E67E66"/>
    <w:multiLevelType w:val="hybridMultilevel"/>
    <w:tmpl w:val="A9D279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D76EC5"/>
    <w:multiLevelType w:val="multilevel"/>
    <w:tmpl w:val="B18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80D04"/>
    <w:multiLevelType w:val="hybridMultilevel"/>
    <w:tmpl w:val="9A5A1CBE"/>
    <w:lvl w:ilvl="0" w:tplc="004A7C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052CC3"/>
    <w:multiLevelType w:val="hybridMultilevel"/>
    <w:tmpl w:val="DA84A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86E65"/>
    <w:multiLevelType w:val="hybridMultilevel"/>
    <w:tmpl w:val="E3946312"/>
    <w:lvl w:ilvl="0" w:tplc="3586E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D50917"/>
    <w:multiLevelType w:val="hybridMultilevel"/>
    <w:tmpl w:val="D640DB9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9175A16"/>
    <w:multiLevelType w:val="hybridMultilevel"/>
    <w:tmpl w:val="ADB0CC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BD471B"/>
    <w:multiLevelType w:val="hybridMultilevel"/>
    <w:tmpl w:val="08C0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52"/>
    <w:rsid w:val="001C664B"/>
    <w:rsid w:val="0020179D"/>
    <w:rsid w:val="00205DA5"/>
    <w:rsid w:val="00347741"/>
    <w:rsid w:val="003649B8"/>
    <w:rsid w:val="0037001A"/>
    <w:rsid w:val="003D0514"/>
    <w:rsid w:val="004F1896"/>
    <w:rsid w:val="00553572"/>
    <w:rsid w:val="00563D9B"/>
    <w:rsid w:val="005C571D"/>
    <w:rsid w:val="0066178D"/>
    <w:rsid w:val="006A2AAD"/>
    <w:rsid w:val="00772876"/>
    <w:rsid w:val="00807810"/>
    <w:rsid w:val="00834C17"/>
    <w:rsid w:val="00843D2F"/>
    <w:rsid w:val="00967B2E"/>
    <w:rsid w:val="009B1DF4"/>
    <w:rsid w:val="00AE51F8"/>
    <w:rsid w:val="00B46E5E"/>
    <w:rsid w:val="00B712AC"/>
    <w:rsid w:val="00B73B2C"/>
    <w:rsid w:val="00B92D64"/>
    <w:rsid w:val="00BD7832"/>
    <w:rsid w:val="00C01734"/>
    <w:rsid w:val="00D42C33"/>
    <w:rsid w:val="00D46316"/>
    <w:rsid w:val="00E61252"/>
    <w:rsid w:val="00E96DE7"/>
    <w:rsid w:val="00F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6393-16BC-43C4-9015-34C88454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3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6316"/>
    <w:pPr>
      <w:ind w:left="720"/>
      <w:contextualSpacing/>
    </w:pPr>
  </w:style>
  <w:style w:type="paragraph" w:customStyle="1" w:styleId="Default">
    <w:name w:val="Default"/>
    <w:rsid w:val="00D46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0173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49B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w.malopolska.pl/wiadomosci/komunikat-dotyczacy-trybu-konkurecyjnego-w-ramach-prow-2014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3387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Doniec, Magdalena (UMWM)</dc:creator>
  <cp:keywords/>
  <dc:description/>
  <cp:lastModifiedBy>Doniec, Magdalena (UMWM)</cp:lastModifiedBy>
  <cp:revision>2</cp:revision>
  <cp:lastPrinted>2019-09-10T07:49:00Z</cp:lastPrinted>
  <dcterms:created xsi:type="dcterms:W3CDTF">2020-05-08T14:08:00Z</dcterms:created>
  <dcterms:modified xsi:type="dcterms:W3CDTF">2020-05-08T14:08:00Z</dcterms:modified>
</cp:coreProperties>
</file>